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395"/>
        <w:gridCol w:w="4677"/>
      </w:tblGrid>
      <w:tr w:rsidR="00523D82" w:rsidRPr="005C1C4E" w14:paraId="17BCB988" w14:textId="77777777" w:rsidTr="001305B8">
        <w:tc>
          <w:tcPr>
            <w:tcW w:w="5211" w:type="dxa"/>
            <w:hideMark/>
          </w:tcPr>
          <w:p w14:paraId="0384A3EE" w14:textId="77777777" w:rsidR="007E1D85" w:rsidRPr="008330E7" w:rsidRDefault="007E1D85" w:rsidP="001305B8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hideMark/>
          </w:tcPr>
          <w:p w14:paraId="12918F9F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753F760A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1EA04F14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РГУ «</w:t>
            </w:r>
            <w:r w:rsidR="00617D52"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Комитет </w:t>
            </w:r>
            <w:r w:rsidR="00617D52" w:rsidRPr="00084813">
              <w:rPr>
                <w:rFonts w:ascii="Times New Roman" w:eastAsiaTheme="minorHAnsi" w:hAnsi="Times New Roman"/>
                <w:sz w:val="28"/>
                <w:szCs w:val="28"/>
              </w:rPr>
              <w:t>медицинского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и фармацевтического </w:t>
            </w:r>
            <w:r w:rsidR="00617D52" w:rsidRPr="00084813">
              <w:rPr>
                <w:rFonts w:ascii="Times New Roman" w:eastAsiaTheme="minorHAnsi" w:hAnsi="Times New Roman"/>
                <w:sz w:val="28"/>
                <w:szCs w:val="28"/>
              </w:rPr>
              <w:t>контроля Министерства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здравоохранения </w:t>
            </w:r>
          </w:p>
          <w:p w14:paraId="0706660B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1B857B2E" w14:textId="2D403219" w:rsidR="00084813" w:rsidRPr="00084813" w:rsidRDefault="00084813" w:rsidP="001E19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r w:rsidR="001E19C5" w:rsidRPr="001E19C5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05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1E19C5" w:rsidRPr="001E19C5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06  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1E19C5" w:rsidRPr="001E19C5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25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6AD35C9D" w14:textId="4C8B155D" w:rsidR="00084813" w:rsidRDefault="00084813" w:rsidP="001E19C5">
            <w:pPr>
              <w:suppressAutoHyphens/>
              <w:autoSpaceDE w:val="0"/>
              <w:autoSpaceDN w:val="0"/>
              <w:spacing w:before="120" w:after="0" w:line="240" w:lineRule="auto"/>
              <w:ind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№</w:t>
            </w:r>
            <w:r w:rsidR="001E19C5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</w:t>
            </w:r>
            <w:r w:rsidR="001E19C5" w:rsidRPr="001E19C5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</w:t>
            </w:r>
            <w:r w:rsidR="001E19C5" w:rsidRP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86509 (</w:t>
            </w:r>
            <w:r w:rsidR="001E19C5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для </w:t>
            </w:r>
            <w:proofErr w:type="spellStart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Панимун</w:t>
            </w:r>
            <w:proofErr w:type="spellEnd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Биорал</w:t>
            </w:r>
            <w:proofErr w:type="spellEnd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  <w:r w:rsidR="001E19C5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25 мг)</w:t>
            </w:r>
          </w:p>
          <w:p w14:paraId="04478C67" w14:textId="4B77DAD3" w:rsidR="001E19C5" w:rsidRDefault="001E19C5" w:rsidP="001E19C5">
            <w:pPr>
              <w:suppressAutoHyphens/>
              <w:autoSpaceDE w:val="0"/>
              <w:autoSpaceDN w:val="0"/>
              <w:spacing w:before="120" w:after="0" w:line="240" w:lineRule="auto"/>
              <w:ind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</w:t>
            </w:r>
            <w:r w:rsidRP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086510 (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для</w:t>
            </w:r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Панимун</w:t>
            </w:r>
            <w:proofErr w:type="spellEnd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Биорал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50 мг)</w:t>
            </w:r>
          </w:p>
          <w:p w14:paraId="4CCD0D34" w14:textId="796C7C6B" w:rsidR="001E19C5" w:rsidRPr="001E19C5" w:rsidRDefault="001E19C5" w:rsidP="001E19C5">
            <w:pPr>
              <w:suppressAutoHyphens/>
              <w:autoSpaceDE w:val="0"/>
              <w:autoSpaceDN w:val="0"/>
              <w:spacing w:before="120" w:after="0" w:line="240" w:lineRule="auto"/>
              <w:ind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</w:t>
            </w:r>
            <w:r w:rsidRP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086511 (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для </w:t>
            </w:r>
            <w:proofErr w:type="spellStart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Панимун</w:t>
            </w:r>
            <w:proofErr w:type="spellEnd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Биорал</w:t>
            </w:r>
            <w:proofErr w:type="spellEnd"/>
            <w:r w:rsidR="00A57C0D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100 мг)</w:t>
            </w:r>
          </w:p>
          <w:p w14:paraId="4994E91F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70C02E4A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7A58A4C1" w14:textId="77777777" w:rsidTr="001305B8">
        <w:tc>
          <w:tcPr>
            <w:tcW w:w="5211" w:type="dxa"/>
          </w:tcPr>
          <w:p w14:paraId="3E265892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14:paraId="60209B6D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5DF77BE3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5C1C4E" w14:paraId="4D27C9C3" w14:textId="77777777" w:rsidTr="001305B8">
        <w:trPr>
          <w:trHeight w:val="80"/>
        </w:trPr>
        <w:tc>
          <w:tcPr>
            <w:tcW w:w="5211" w:type="dxa"/>
          </w:tcPr>
          <w:p w14:paraId="35B57288" w14:textId="77777777" w:rsidR="00523D82" w:rsidRPr="00746FF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14:paraId="0CF78CF9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0FE7DD77" w14:textId="77777777" w:rsidR="00523D82" w:rsidRPr="00746FF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A742C23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5CDFC94" w14:textId="77777777" w:rsidR="00232642" w:rsidRPr="00844CE8" w:rsidRDefault="00D76048" w:rsidP="001305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6A5F86A4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BD295A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CE8517E" w14:textId="77777777" w:rsidR="002C76D7" w:rsidRDefault="001305B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1305B8">
        <w:rPr>
          <w:rFonts w:ascii="Times New Roman" w:eastAsia="Times New Roman" w:hAnsi="Times New Roman"/>
          <w:bCs/>
          <w:sz w:val="28"/>
          <w:szCs w:val="28"/>
          <w:lang w:eastAsia="ru-RU"/>
        </w:rPr>
        <w:t>Панимун</w:t>
      </w:r>
      <w:proofErr w:type="spellEnd"/>
      <w:r w:rsidRPr="001305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1305B8">
        <w:rPr>
          <w:rFonts w:ascii="Times New Roman" w:eastAsia="Times New Roman" w:hAnsi="Times New Roman"/>
          <w:bCs/>
          <w:sz w:val="28"/>
          <w:szCs w:val="28"/>
          <w:lang w:eastAsia="ru-RU"/>
        </w:rPr>
        <w:t>Биорал</w:t>
      </w:r>
      <w:proofErr w:type="spellEnd"/>
    </w:p>
    <w:p w14:paraId="478B028C" w14:textId="77777777" w:rsidR="001305B8" w:rsidRPr="001305B8" w:rsidRDefault="001305B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AEDA268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497C38B0" w14:textId="77777777" w:rsidR="002C76D7" w:rsidRDefault="001305B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05B8">
        <w:rPr>
          <w:rFonts w:ascii="Times New Roman" w:eastAsia="Times New Roman" w:hAnsi="Times New Roman"/>
          <w:bCs/>
          <w:sz w:val="28"/>
          <w:szCs w:val="28"/>
          <w:lang w:eastAsia="ru-RU"/>
        </w:rPr>
        <w:t>Циклоспорин</w:t>
      </w:r>
    </w:p>
    <w:p w14:paraId="3D9787A9" w14:textId="77777777" w:rsidR="001305B8" w:rsidRPr="001305B8" w:rsidRDefault="001305B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93C426C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17CD15E2" w14:textId="77777777" w:rsidR="00B01011" w:rsidRDefault="001305B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305B8">
        <w:rPr>
          <w:rFonts w:ascii="Times New Roman" w:eastAsia="Times New Roman" w:hAnsi="Times New Roman"/>
          <w:sz w:val="28"/>
          <w:szCs w:val="28"/>
          <w:lang w:eastAsia="ru-RU"/>
        </w:rPr>
        <w:t>апсулы, 25 мг, 50 мг и 100 мг</w:t>
      </w:r>
    </w:p>
    <w:p w14:paraId="31CD4144" w14:textId="77777777" w:rsidR="001305B8" w:rsidRPr="00844CE8" w:rsidRDefault="001305B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4D9017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7C9D99A5" w14:textId="77777777" w:rsidR="000F2810" w:rsidRPr="000F2810" w:rsidRDefault="000F2810" w:rsidP="000F281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F2810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0F2810">
        <w:rPr>
          <w:rFonts w:ascii="Times New Roman" w:hAnsi="Times New Roman"/>
          <w:color w:val="000000"/>
          <w:sz w:val="28"/>
          <w:szCs w:val="28"/>
        </w:rPr>
        <w:t xml:space="preserve"> и иммуномодулирующие препараты. </w:t>
      </w:r>
      <w:proofErr w:type="spellStart"/>
      <w:r w:rsidRPr="000F2810">
        <w:rPr>
          <w:rFonts w:ascii="Times New Roman" w:hAnsi="Times New Roman"/>
          <w:color w:val="000000"/>
          <w:sz w:val="28"/>
          <w:szCs w:val="28"/>
        </w:rPr>
        <w:t>Иммуносупрессанты</w:t>
      </w:r>
      <w:proofErr w:type="spellEnd"/>
      <w:r w:rsidRPr="000F28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F2810">
        <w:rPr>
          <w:rFonts w:ascii="Times New Roman" w:hAnsi="Times New Roman"/>
          <w:color w:val="000000"/>
          <w:sz w:val="28"/>
          <w:szCs w:val="28"/>
        </w:rPr>
        <w:t>Кальциневрина</w:t>
      </w:r>
      <w:proofErr w:type="spellEnd"/>
      <w:r w:rsidRPr="000F2810">
        <w:rPr>
          <w:rFonts w:ascii="Times New Roman" w:hAnsi="Times New Roman"/>
          <w:color w:val="000000"/>
          <w:sz w:val="28"/>
          <w:szCs w:val="28"/>
        </w:rPr>
        <w:t xml:space="preserve"> ингибиторы. Циклоспорин.</w:t>
      </w:r>
    </w:p>
    <w:p w14:paraId="451C403C" w14:textId="77777777" w:rsidR="000F2810" w:rsidRPr="000F2810" w:rsidRDefault="000F2810" w:rsidP="000F281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F2810">
        <w:rPr>
          <w:rFonts w:ascii="Times New Roman" w:hAnsi="Times New Roman"/>
          <w:color w:val="000000"/>
          <w:sz w:val="28"/>
          <w:szCs w:val="28"/>
        </w:rPr>
        <w:t>Код АТХ L04AD01</w:t>
      </w:r>
    </w:p>
    <w:p w14:paraId="67D909D9" w14:textId="77777777" w:rsidR="000F2810" w:rsidRDefault="000F2810" w:rsidP="000F281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0C5BB1B0" w14:textId="77777777" w:rsidR="002C76D7" w:rsidRPr="00844CE8" w:rsidRDefault="005444B2" w:rsidP="000F281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34BC56F9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833F1">
        <w:rPr>
          <w:rFonts w:ascii="Times New Roman" w:hAnsi="Times New Roman"/>
          <w:color w:val="000000"/>
          <w:sz w:val="28"/>
          <w:szCs w:val="28"/>
          <w:u w:val="single"/>
        </w:rPr>
        <w:t>Трансплантационные показания</w:t>
      </w:r>
    </w:p>
    <w:p w14:paraId="3861647A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/>
          <w:sz w:val="28"/>
          <w:szCs w:val="28"/>
        </w:rPr>
        <w:t>Трансплантация солидных органов</w:t>
      </w:r>
    </w:p>
    <w:p w14:paraId="0B5863E1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t>Предупреждение отторжения трансплантата после трансплантации солидных органов.</w:t>
      </w:r>
    </w:p>
    <w:p w14:paraId="58FC741F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t xml:space="preserve">Лечение </w:t>
      </w:r>
      <w:r w:rsidR="00236AAE" w:rsidRPr="00236AAE">
        <w:rPr>
          <w:rFonts w:ascii="Times New Roman" w:hAnsi="Times New Roman"/>
          <w:color w:val="000000"/>
          <w:sz w:val="28"/>
          <w:szCs w:val="28"/>
        </w:rPr>
        <w:t xml:space="preserve">клеточного </w:t>
      </w:r>
      <w:r w:rsidRPr="00D833F1">
        <w:rPr>
          <w:rFonts w:ascii="Times New Roman" w:hAnsi="Times New Roman"/>
          <w:color w:val="000000"/>
          <w:sz w:val="28"/>
          <w:szCs w:val="28"/>
        </w:rPr>
        <w:t xml:space="preserve">отторжения трансплантата у больных, ранее получавших другие </w:t>
      </w:r>
      <w:proofErr w:type="spellStart"/>
      <w:r w:rsidRPr="00D833F1">
        <w:rPr>
          <w:rFonts w:ascii="Times New Roman" w:hAnsi="Times New Roman"/>
          <w:color w:val="000000"/>
          <w:sz w:val="28"/>
          <w:szCs w:val="28"/>
        </w:rPr>
        <w:t>иммуносупрессивные</w:t>
      </w:r>
      <w:proofErr w:type="spellEnd"/>
      <w:r w:rsidRPr="00D833F1">
        <w:rPr>
          <w:rFonts w:ascii="Times New Roman" w:hAnsi="Times New Roman"/>
          <w:color w:val="000000"/>
          <w:sz w:val="28"/>
          <w:szCs w:val="28"/>
        </w:rPr>
        <w:t xml:space="preserve"> препараты.</w:t>
      </w:r>
    </w:p>
    <w:p w14:paraId="67FFAABE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/>
          <w:sz w:val="28"/>
          <w:szCs w:val="28"/>
        </w:rPr>
        <w:t>Трансплантация костного мозга</w:t>
      </w:r>
    </w:p>
    <w:p w14:paraId="564620ED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t>Предупреждение отторжения трансплантата после трансплантации аллогенного костного мозга и стволовых клеток.</w:t>
      </w:r>
    </w:p>
    <w:p w14:paraId="5B69FF22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lastRenderedPageBreak/>
        <w:t>Предупреждение и лечение болезни «трансплантат против хозяина».</w:t>
      </w:r>
    </w:p>
    <w:p w14:paraId="0C6DAFCB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D833F1">
        <w:rPr>
          <w:rFonts w:ascii="Times New Roman" w:hAnsi="Times New Roman"/>
          <w:color w:val="000000"/>
          <w:sz w:val="28"/>
          <w:szCs w:val="28"/>
          <w:u w:val="single"/>
        </w:rPr>
        <w:t>Нетрансплантационные</w:t>
      </w:r>
      <w:proofErr w:type="spellEnd"/>
      <w:r w:rsidRPr="00D833F1">
        <w:rPr>
          <w:rFonts w:ascii="Times New Roman" w:hAnsi="Times New Roman"/>
          <w:color w:val="000000"/>
          <w:sz w:val="28"/>
          <w:szCs w:val="28"/>
          <w:u w:val="single"/>
        </w:rPr>
        <w:t xml:space="preserve"> показания</w:t>
      </w:r>
    </w:p>
    <w:p w14:paraId="66FDBC8F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/>
          <w:sz w:val="28"/>
          <w:szCs w:val="28"/>
        </w:rPr>
        <w:t>Эндогенный увеит</w:t>
      </w:r>
    </w:p>
    <w:p w14:paraId="2F37B489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t>Лечение угрожающего зрению среднего или заднего увеита неинфекционной этиологии в случаях, когда традиционное лечение не оказало эффекта или при развитии тяжелых побочных эффектов.</w:t>
      </w:r>
    </w:p>
    <w:p w14:paraId="0715A58B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t xml:space="preserve">Лечение увеита </w:t>
      </w:r>
      <w:proofErr w:type="spellStart"/>
      <w:r w:rsidRPr="00D833F1">
        <w:rPr>
          <w:rFonts w:ascii="Times New Roman" w:hAnsi="Times New Roman"/>
          <w:color w:val="000000"/>
          <w:sz w:val="28"/>
          <w:szCs w:val="28"/>
        </w:rPr>
        <w:t>Бехчета</w:t>
      </w:r>
      <w:proofErr w:type="spellEnd"/>
      <w:r w:rsidRPr="00D833F1">
        <w:rPr>
          <w:rFonts w:ascii="Times New Roman" w:hAnsi="Times New Roman"/>
          <w:color w:val="000000"/>
          <w:sz w:val="28"/>
          <w:szCs w:val="28"/>
        </w:rPr>
        <w:t xml:space="preserve"> с повторными приступами воспаления сетчатки у пациентов без признаков неврологических заболеваний.</w:t>
      </w:r>
    </w:p>
    <w:p w14:paraId="647C7AB1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/>
          <w:sz w:val="28"/>
          <w:szCs w:val="28"/>
        </w:rPr>
        <w:t>Нефротический синдром</w:t>
      </w:r>
    </w:p>
    <w:p w14:paraId="167BD728" w14:textId="77777777" w:rsidR="00236AAE" w:rsidRDefault="00236AAE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36AAE">
        <w:rPr>
          <w:rFonts w:ascii="Times New Roman" w:hAnsi="Times New Roman"/>
          <w:color w:val="000000"/>
          <w:sz w:val="28"/>
          <w:szCs w:val="28"/>
        </w:rPr>
        <w:t>Стероидозависимый</w:t>
      </w:r>
      <w:proofErr w:type="spellEnd"/>
      <w:r w:rsidRPr="00236AAE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236AAE">
        <w:rPr>
          <w:rFonts w:ascii="Times New Roman" w:hAnsi="Times New Roman"/>
          <w:color w:val="000000"/>
          <w:sz w:val="28"/>
          <w:szCs w:val="28"/>
        </w:rPr>
        <w:t>стероидорезистентный</w:t>
      </w:r>
      <w:proofErr w:type="spellEnd"/>
      <w:r w:rsidRPr="00236AAE">
        <w:rPr>
          <w:rFonts w:ascii="Times New Roman" w:hAnsi="Times New Roman"/>
          <w:color w:val="000000"/>
          <w:sz w:val="28"/>
          <w:szCs w:val="28"/>
        </w:rPr>
        <w:t xml:space="preserve"> нефротический синдром, обусловленный первичными </w:t>
      </w:r>
      <w:proofErr w:type="spellStart"/>
      <w:r w:rsidRPr="00236AAE">
        <w:rPr>
          <w:rFonts w:ascii="Times New Roman" w:hAnsi="Times New Roman"/>
          <w:color w:val="000000"/>
          <w:sz w:val="28"/>
          <w:szCs w:val="28"/>
        </w:rPr>
        <w:t>гломерулярными</w:t>
      </w:r>
      <w:proofErr w:type="spellEnd"/>
      <w:r w:rsidRPr="00236AAE">
        <w:rPr>
          <w:rFonts w:ascii="Times New Roman" w:hAnsi="Times New Roman"/>
          <w:color w:val="000000"/>
          <w:sz w:val="28"/>
          <w:szCs w:val="28"/>
        </w:rPr>
        <w:t xml:space="preserve"> заболеваниями, такими как нефропатия минимальных изменений, очаговый и сегментарный </w:t>
      </w:r>
      <w:proofErr w:type="spellStart"/>
      <w:r w:rsidRPr="00236AAE">
        <w:rPr>
          <w:rFonts w:ascii="Times New Roman" w:hAnsi="Times New Roman"/>
          <w:color w:val="000000"/>
          <w:sz w:val="28"/>
          <w:szCs w:val="28"/>
        </w:rPr>
        <w:t>гломерулосклероз</w:t>
      </w:r>
      <w:proofErr w:type="spellEnd"/>
      <w:r w:rsidRPr="00236AAE">
        <w:rPr>
          <w:rFonts w:ascii="Times New Roman" w:hAnsi="Times New Roman"/>
          <w:color w:val="000000"/>
          <w:sz w:val="28"/>
          <w:szCs w:val="28"/>
        </w:rPr>
        <w:t>, мембранозный гломерулонефрит.</w:t>
      </w:r>
    </w:p>
    <w:p w14:paraId="27F9E0DD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33F1">
        <w:rPr>
          <w:rFonts w:ascii="Times New Roman" w:hAnsi="Times New Roman"/>
          <w:color w:val="000000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33F1">
        <w:rPr>
          <w:rFonts w:ascii="Times New Roman" w:hAnsi="Times New Roman"/>
          <w:color w:val="000000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/>
          <w:sz w:val="28"/>
          <w:szCs w:val="28"/>
        </w:rPr>
        <w:t xml:space="preserve"> можно применять для индукции и поддержания ремиссии. Также может применяться для поддержания ремиссии, вызванной стероидами, что позволит их отменить.</w:t>
      </w:r>
    </w:p>
    <w:p w14:paraId="38345521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/>
          <w:sz w:val="28"/>
          <w:szCs w:val="28"/>
        </w:rPr>
        <w:t>Ревматоидный артрит</w:t>
      </w:r>
    </w:p>
    <w:p w14:paraId="4AB29A78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t>Тяжелые формы активного ревматоидного артрита.</w:t>
      </w:r>
    </w:p>
    <w:p w14:paraId="40DCD25F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/>
          <w:sz w:val="28"/>
          <w:szCs w:val="28"/>
        </w:rPr>
        <w:t>Псориаз</w:t>
      </w:r>
    </w:p>
    <w:p w14:paraId="727F6C1D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3F1">
        <w:rPr>
          <w:rFonts w:ascii="Times New Roman" w:hAnsi="Times New Roman"/>
          <w:color w:val="000000"/>
          <w:sz w:val="28"/>
          <w:szCs w:val="28"/>
        </w:rPr>
        <w:t>Тяжелые формы псориаза, когда традиционная терапия неэффективна или невозможна.</w:t>
      </w:r>
    </w:p>
    <w:p w14:paraId="1D637A11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/>
          <w:sz w:val="28"/>
          <w:szCs w:val="28"/>
        </w:rPr>
        <w:t>Атопический дерматит</w:t>
      </w:r>
    </w:p>
    <w:p w14:paraId="0C4E9673" w14:textId="77777777" w:rsidR="00844CE8" w:rsidRPr="00D833F1" w:rsidRDefault="00D833F1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D833F1">
        <w:rPr>
          <w:rFonts w:ascii="Times New Roman" w:hAnsi="Times New Roman"/>
          <w:color w:val="000000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33F1">
        <w:rPr>
          <w:rFonts w:ascii="Times New Roman" w:hAnsi="Times New Roman"/>
          <w:color w:val="000000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/>
          <w:sz w:val="28"/>
          <w:szCs w:val="28"/>
        </w:rPr>
        <w:t xml:space="preserve"> предназначен для пациентов с тяжелыми формами атопического дерматита, когда требуется системная терапия.</w:t>
      </w:r>
    </w:p>
    <w:p w14:paraId="3DEE7D10" w14:textId="77777777" w:rsidR="00D833F1" w:rsidRPr="00844CE8" w:rsidRDefault="00D833F1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40AD00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293998D7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21A940A8" w14:textId="77777777" w:rsidR="00D833F1" w:rsidRPr="00D833F1" w:rsidRDefault="00D833F1" w:rsidP="00D833F1">
      <w:pPr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повышенная чувствительность к циклоспорину и/или к любому из вспомогательных веществ, перечисленных в разделе </w:t>
      </w:r>
      <w:r w:rsidR="000A2141">
        <w:rPr>
          <w:rFonts w:ascii="Times New Roman" w:hAnsi="Times New Roman"/>
          <w:color w:val="000000" w:themeColor="text1"/>
          <w:sz w:val="28"/>
          <w:szCs w:val="28"/>
        </w:rPr>
        <w:t>«Состав»</w:t>
      </w:r>
    </w:p>
    <w:p w14:paraId="7522361F" w14:textId="77777777" w:rsidR="00D833F1" w:rsidRPr="00D833F1" w:rsidRDefault="00D833F1" w:rsidP="00D833F1">
      <w:pPr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комбинация с препаратами, содержащими зверобой продырявленный (</w:t>
      </w: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Hypericum</w:t>
      </w:r>
      <w:proofErr w:type="spellEnd"/>
      <w:r w:rsidRPr="00D833F1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Рerforatum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3C833797" w14:textId="77777777" w:rsidR="00D833F1" w:rsidRDefault="00D833F1" w:rsidP="00D833F1">
      <w:pPr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комбинация с препаратами, которые являются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эффлюксными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транспортерами Р-гликопротеина и органическими анион-транспортерами белков, и повышение концентрации в плазме которых приводит к серьезным и/или жизни угрожающим состояниям, например,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бозентан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дабигатранэтексилат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алискирен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0F86284" w14:textId="77777777" w:rsidR="0045787D" w:rsidRDefault="0045787D" w:rsidP="0045787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45787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Необходимы меры предосторожности при применении </w:t>
      </w:r>
    </w:p>
    <w:p w14:paraId="23E82072" w14:textId="77777777" w:rsidR="0045787D" w:rsidRPr="00D833F1" w:rsidRDefault="0045787D" w:rsidP="004578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Наблюдение врача</w:t>
      </w:r>
    </w:p>
    <w:p w14:paraId="1B317BA0" w14:textId="77777777" w:rsidR="0045787D" w:rsidRPr="0045787D" w:rsidRDefault="0045787D" w:rsidP="00457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Препарат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должен назначаться только врачами, имеющими опыт проведения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иммуносупрессивной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терапии и возможность обеспечить адекватное наблюдение за пациентами, включая регулярное полное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физикальное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обследование, измерение артериального давления и контроль лабораторных показателей безопасности. Наблюдение за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>пациентами, перенесшими трансплантацию и получающими препарат, следует проводить только в тех учреждениях, которые обеспечены адекватными лабораторными и прочими ресурсами. Врач, ответственный за поддерживающую терапию, должен получать полную информацию по ведению пациента.</w:t>
      </w:r>
    </w:p>
    <w:p w14:paraId="5460642B" w14:textId="77777777" w:rsidR="007D0E84" w:rsidRPr="00D833F1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833F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10EFA48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Лекарственные взаимодействия</w:t>
      </w:r>
    </w:p>
    <w:p w14:paraId="5488BABE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Зарегистрированы случаи взаимодействия многих лекарственных препаратов с циклоспорином. Ниже перечислены препараты, взаимодействие которых с циклоспорином является подтвержденным и клинически значимым.</w:t>
      </w:r>
    </w:p>
    <w:p w14:paraId="1C70FF1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Ряд препаратов увеличивает или уменьшает концентрацию циклоспорина в плазме или цельной крови путем конкурирующего ингибирования или индукции действия ферментов печени, особенно CYP3A4, участвующих в метаболизме циклоспорина. </w:t>
      </w:r>
    </w:p>
    <w:p w14:paraId="35F6D6B2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Циклоспорин является, кроме того, ингибитором CYP3A4,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мультилекарственного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эффлюксного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транспортного P-гликопротеина и транспортных протеинов органических анионов, а также может повышать концентрацию сопутствующих препаратов в плазме крови, являющихся субстратами этого фермента и/или транспортеров.</w:t>
      </w:r>
    </w:p>
    <w:p w14:paraId="59972D20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0B73">
        <w:rPr>
          <w:rFonts w:ascii="Times New Roman" w:hAnsi="Times New Roman"/>
          <w:color w:val="000000" w:themeColor="text1"/>
          <w:sz w:val="28"/>
          <w:szCs w:val="28"/>
        </w:rPr>
        <w:t>Лекарственные препараты, снижающие или повышающие биодоступность циклоспорина</w:t>
      </w:r>
      <w:r w:rsidR="00040B73" w:rsidRPr="00040B7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40B73"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пациентов с трансплантатом, требуется частое измерение уровня циклоспорина в крови и при необходимости коррекция его дозы, особенно во время назначения или отмены сопутствующего препарата. У пациентов без трансплантата взаимосвязь между уровнем в крови и клиническими эффектами не отчетлива. Если препараты, повышающие уровень циклоспорина, принимаются пациентом одновременно, то частая оценка функции почек и тщательный контроль за побочными эффектами циклоспорина более необходимы, чем измерение уровня циклоспорина в крови.</w:t>
      </w:r>
    </w:p>
    <w:p w14:paraId="17AB02E3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Препараты, снижающие концентрацию циклоспорина</w:t>
      </w:r>
    </w:p>
    <w:p w14:paraId="169A854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Предполагается, что все индукторы CYP3A4 и/или Р-гликопротеина снижают концентрацию циклоспорина. Примеры препаратов, </w:t>
      </w:r>
      <w:r w:rsidRPr="00D833F1">
        <w:rPr>
          <w:rFonts w:ascii="Times New Roman" w:hAnsi="Times New Roman"/>
          <w:color w:val="000000" w:themeColor="text1"/>
          <w:sz w:val="28"/>
          <w:szCs w:val="28"/>
          <w:u w:val="single"/>
        </w:rPr>
        <w:t>снижающих концентрацию циклоспорина: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барбитураты,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карбамазепин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окскарбазепин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фенитоин,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нафциллин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сульфадимидин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внутривенно,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пробукол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орлистат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препараты, содержащие зверобой,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тиклопидин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сульфинпиразон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тербинафин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бозентан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40F79AD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Препараты, содержащие 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зверобой продырявленный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не должны применяться совместно с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ввиду риска снижения уровня циклоспорина в крови и, следовательно, снижения эффективности.</w:t>
      </w:r>
    </w:p>
    <w:p w14:paraId="75FCA7E2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Рифампицин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индуцирует метаболизм циклоспорина в кишечнике и печени. Может потребоваться увеличение дозы циклоспорина в 3–5 раз при одновременном применении с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рифампицином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C1919E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Октреотид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уменьшает всасывание циклоспорина при приеме внутрь, и может потребоваться увеличение дозы циклоспорина на 50% или переход на внутривенное применение.</w:t>
      </w:r>
    </w:p>
    <w:p w14:paraId="34FC58CE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Препараты, повышающие концентрацию циклоспорина</w:t>
      </w:r>
    </w:p>
    <w:p w14:paraId="4FE79AC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Все ингибиторы CYP3A4 и/или Р-гликопротеина могут приводить к увеличению концентрации циклоспорина. Примеры: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никардипин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метоклопрамид, пероральные контрацептивы,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метилпреднизолон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(в высоких дозах), аллопуринол,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холиевая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кислота и ее производные, ингибиторы протеазы,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иматиниб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колхицин,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нефазодон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032A5449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Антибиотики-макролиды: эритромицин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может в 4–7 раз увеличить экспозицию циклоспорина, иногда приводящую к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нефротоксичности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Сообщалось о том, что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кларитромицин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увеличивал экспозицию циклоспорина вдвое.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Азитромицин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увеличивает уровень циклоспорина примерно на 20%.</w:t>
      </w:r>
    </w:p>
    <w:p w14:paraId="09F035A3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Азольные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антибиотики: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кетоконазол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флуконазол,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итраконазол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и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вориконазол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могут более чем вдвое увеличивать экспозицию циклоспорина.</w:t>
      </w:r>
    </w:p>
    <w:p w14:paraId="5F465BC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Верапамил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увеличивает концентрацию циклоспорина в крови в 2–3 раза.</w:t>
      </w:r>
    </w:p>
    <w:p w14:paraId="293B962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Одновременное применение с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телапревиром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привело к увеличению примерно в 4,64 раза экспозиции нормализованной дозы циклоспорина (AUC).</w:t>
      </w:r>
    </w:p>
    <w:p w14:paraId="6DFD5CC4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Амиодарон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существенно увеличивает концентрацию циклоспорина в плазме одновременно с увеличением содержания креатинина в сыворотке. Это взаимодействие может произойти в течение длительного времени после прекращения приема амиодарона из-за очень продолжительного периода его полураспада (около 50 дней).</w:t>
      </w:r>
    </w:p>
    <w:p w14:paraId="2BDCC749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Сообщалось, что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даназол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увеличивает концентрацию циклоспорина в крови примерно на 50%.</w:t>
      </w:r>
    </w:p>
    <w:p w14:paraId="4FD60D91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Дилтиазем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(в дозе 90 мг в сутки) может увеличить концентрацию циклоспорина в плазме до 50%.</w:t>
      </w:r>
    </w:p>
    <w:p w14:paraId="61D3498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Иматиниб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увеличивает экспозицию циклоспорина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C</w:t>
      </w:r>
      <w:r w:rsidRPr="00D833F1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max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примерно на 20%.</w:t>
      </w:r>
    </w:p>
    <w:p w14:paraId="01B9397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Каннабидиол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(ингибитор P-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gp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):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поступали сообщения о повышении уровня в крови другого ингибитора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кальциневрина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при одновременном применении с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каннабидиолом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Это взаимодействие может происходить из-за ингибирования оттока Р-гликопротеина из кишечника, что приводит к повышению биодоступности ингибитора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кальциневрина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Поэтому циклоспорин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каннабидиол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следует назначать одновременно с осторожностью, внимательно следя за побочными эффектами. У реципиентов трансплантата следует контролировать минимальные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концентрации циклоспорина в цельной крови и при необходимости корректировать дозу циклоспорина. У пациентов без трансплантации следует рассмотреть возможность мониторинга уровня циклоспорина в крови с коррекцией дозы при необходимости.</w:t>
      </w:r>
    </w:p>
    <w:p w14:paraId="39DEF14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Пищевые взаимодействия</w:t>
      </w:r>
    </w:p>
    <w:p w14:paraId="38DC446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При одновременном применении препарата с грейпфрутом или грейпфрутовым соком повышается биодоступность циклоспорина.</w:t>
      </w:r>
    </w:p>
    <w:p w14:paraId="753A33E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Комбинации, приводящие к потенциально повышенной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нефротоксичности</w:t>
      </w:r>
      <w:proofErr w:type="spellEnd"/>
    </w:p>
    <w:p w14:paraId="54E6467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Следует осторожно принимать циклоспорин в комбинации с препаратами, которые могут вызвать нефротоксическую синергию: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аминогликозиды (включая гентамицин и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тобрамицин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),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амфотерицин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В, ципрофлоксацин, ванкомицин,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триметоприм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(+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сульфаметоксазол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), производные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фиброевой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кислоты (например,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безафибрат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фенофибрат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), НПВП (включая диклофенак,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напроксен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сулиндак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),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мелфалан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антагонисты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гистаминовых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Н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  <w:vertAlign w:val="subscript"/>
        </w:rPr>
        <w:t>2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-рецепторов (например,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циметидин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ранитидин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), метотрексат.</w:t>
      </w:r>
    </w:p>
    <w:p w14:paraId="212A0E63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 проводить тщательный мониторинг функции почек у пациентов, одновременно принимающих препараты, которые могут вызвать своим синергическим действием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нефротоксичность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 В случае значительного почечного нарушения необходимо уменьшить дозировку другого препарата или рассмотреть альтернативное лечение.</w:t>
      </w:r>
    </w:p>
    <w:p w14:paraId="6576A68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Следует избегать совместного применения циклоспорина с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такролимусом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так как повышается риск развития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нефротоксичности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 фармакокинетических взаимодействий с CYP3A4 и (или) P-гликопротеином.</w:t>
      </w:r>
    </w:p>
    <w:p w14:paraId="13E09771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Влияние ПППД (Противовирусные препараты прямого действия) на терапию</w:t>
      </w:r>
    </w:p>
    <w:p w14:paraId="2A1E753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На фармакокинетику циклоспорина могут влиять изменения функции печени во время терапии ПППД, связанные с клиренсом вируса гепатита С. Требуется тщательный мониторинг и возможная коррекция дозы циклоспорина для обеспечения его эффективности.</w:t>
      </w:r>
    </w:p>
    <w:p w14:paraId="6D836411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Влияние циклоспорина на другие препараты</w:t>
      </w:r>
    </w:p>
    <w:p w14:paraId="64A2DD01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Циклоспорин является ингибитором CYP3A4,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мультилекарственного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эффлюксного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транспортного P-гликопротеина и транспортных протеинов органических анионов. Применение лекарственных препаратов, являющихся субстратами CYP3A4, P-гликопротеина и белков-транспортеров органических анионов, совместно с циклоспорином может повышать концентрацию в плазме крови сопутствующих препаратов, являющихся субстратами этого фермента и/или транспортеров. </w:t>
      </w:r>
    </w:p>
    <w:p w14:paraId="570560E1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Ниже представлены некоторые примеры.</w:t>
      </w:r>
    </w:p>
    <w:p w14:paraId="046278B3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Циклоспорин может также снижать клиренс 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дигоксина, колхицина, ингибиторов ГМГ-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КоА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редуктазы (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) и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этопозида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Если какие-либо из данных препаратов применяются совместно с циклоспорином, необходимо осуществлять тщательное клиническое наблюдение для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своевременного определения признаков токсического воздействия лекарственных препаратов. В таких случаях необходимо снижение дозы или прекращение терапии. При одновременном применении с циклоспорином дозу этих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следует снизить, также следует избегать одновременного применения данных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согласно указаниям, приведенным в соответствующей инструкции по применению. Сводная информация по изменениям экспозиции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применяемых обычно с циклоспорином, представлена в таблице 1. Терапия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статинами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временно отменена или приостановлена у пациентов с </w:t>
      </w:r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 xml:space="preserve">признаками </w:t>
      </w:r>
      <w:r w:rsidR="00236AA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симптомами миопатии или у пациентов с факторами риска развития тяжелых нарушений функции почек, включая вторичную почечную недостаточность, развившуюся вследствие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рабдомиолиза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BD202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028749B2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Таблица 1.</w:t>
      </w:r>
      <w:r w:rsidRPr="00D833F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ab/>
        <w:t xml:space="preserve">Сводная информация по изменениям экспозиции </w:t>
      </w:r>
      <w:proofErr w:type="spellStart"/>
      <w:r w:rsidRPr="00D833F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, применяемых обычно с циклоспорином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5103"/>
      </w:tblGrid>
      <w:tr w:rsidR="00D833F1" w:rsidRPr="00D833F1" w14:paraId="37C226AB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6C2" w14:textId="77777777" w:rsidR="00D833F1" w:rsidRPr="00D833F1" w:rsidRDefault="00D833F1" w:rsidP="00666038">
            <w:pPr>
              <w:pStyle w:val="Text"/>
              <w:keepNext/>
              <w:spacing w:before="0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b/>
                <w:bCs/>
                <w:color w:val="000000" w:themeColor="text1"/>
                <w:sz w:val="28"/>
                <w:szCs w:val="28"/>
              </w:rPr>
              <w:t>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8096" w14:textId="77777777" w:rsidR="00D833F1" w:rsidRPr="00D833F1" w:rsidRDefault="00D833F1" w:rsidP="00666038">
            <w:pPr>
              <w:pStyle w:val="Text"/>
              <w:keepNext/>
              <w:spacing w:before="0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b/>
                <w:bCs/>
                <w:color w:val="000000" w:themeColor="text1"/>
                <w:sz w:val="28"/>
                <w:szCs w:val="28"/>
              </w:rPr>
              <w:t>Доступные</w:t>
            </w:r>
            <w:proofErr w:type="spellEnd"/>
            <w:r w:rsidRPr="00D833F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33F1">
              <w:rPr>
                <w:b/>
                <w:bCs/>
                <w:color w:val="000000" w:themeColor="text1"/>
                <w:sz w:val="28"/>
                <w:szCs w:val="28"/>
              </w:rPr>
              <w:t>дозы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B622" w14:textId="77777777" w:rsidR="00D833F1" w:rsidRPr="00D833F1" w:rsidRDefault="00D833F1" w:rsidP="00666038">
            <w:pPr>
              <w:pStyle w:val="Text"/>
              <w:keepNext/>
              <w:spacing w:before="0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D833F1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Кратность изменения экспозиции с применением циклоспорина</w:t>
            </w:r>
          </w:p>
        </w:tc>
      </w:tr>
      <w:tr w:rsidR="00D833F1" w:rsidRPr="00D833F1" w14:paraId="3563A067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2AD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Аторвастатин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78C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10–80 </w:t>
            </w: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164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8–10</w:t>
            </w:r>
          </w:p>
        </w:tc>
      </w:tr>
      <w:tr w:rsidR="00D833F1" w:rsidRPr="00D833F1" w14:paraId="59A69697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64D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Симвастатин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B5D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10–80 </w:t>
            </w: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455B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 xml:space="preserve">6–8 </w:t>
            </w:r>
          </w:p>
        </w:tc>
      </w:tr>
      <w:tr w:rsidR="00D833F1" w:rsidRPr="00D833F1" w14:paraId="15074847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339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Флувастатин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FC8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20–80 </w:t>
            </w: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89C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2–4</w:t>
            </w:r>
          </w:p>
        </w:tc>
      </w:tr>
      <w:tr w:rsidR="00D833F1" w:rsidRPr="00D833F1" w14:paraId="13DE82D4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C28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Ловастатин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B57F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20–40 </w:t>
            </w: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03E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5–8</w:t>
            </w:r>
          </w:p>
        </w:tc>
      </w:tr>
      <w:tr w:rsidR="00D833F1" w:rsidRPr="00D833F1" w14:paraId="4B2517EA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C7F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Правастатин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7CA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20–80 </w:t>
            </w: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A08D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5–10</w:t>
            </w:r>
          </w:p>
        </w:tc>
      </w:tr>
      <w:tr w:rsidR="00D833F1" w:rsidRPr="00D833F1" w14:paraId="3B1F8143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BEA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Розувастатин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3D08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5–40 </w:t>
            </w: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A65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5–10</w:t>
            </w:r>
          </w:p>
        </w:tc>
      </w:tr>
      <w:tr w:rsidR="00D833F1" w:rsidRPr="00D833F1" w14:paraId="588895FA" w14:textId="77777777" w:rsidTr="006660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8BF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Питавастатин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652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1–4 </w:t>
            </w:r>
            <w:proofErr w:type="spellStart"/>
            <w:r w:rsidRPr="00D833F1">
              <w:rPr>
                <w:color w:val="000000" w:themeColor="text1"/>
                <w:sz w:val="28"/>
                <w:szCs w:val="28"/>
              </w:rPr>
              <w:t>мг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6F3" w14:textId="77777777" w:rsidR="00D833F1" w:rsidRPr="00D833F1" w:rsidRDefault="00D833F1" w:rsidP="00666038">
            <w:pPr>
              <w:pStyle w:val="Text"/>
              <w:keepNext/>
              <w:spacing w:before="0"/>
              <w:rPr>
                <w:bCs/>
                <w:color w:val="000000" w:themeColor="text1"/>
                <w:sz w:val="28"/>
                <w:szCs w:val="28"/>
              </w:rPr>
            </w:pPr>
            <w:r w:rsidRPr="00D833F1">
              <w:rPr>
                <w:color w:val="000000" w:themeColor="text1"/>
                <w:sz w:val="28"/>
                <w:szCs w:val="28"/>
              </w:rPr>
              <w:t>4–6</w:t>
            </w:r>
          </w:p>
        </w:tc>
      </w:tr>
    </w:tbl>
    <w:p w14:paraId="0AEE7F8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Поэтому одновременное применение циклоспорина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лерканидипина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рекомендуется назначать с осторожностью.</w:t>
      </w:r>
    </w:p>
    <w:p w14:paraId="7A9EFA23" w14:textId="77777777" w:rsidR="00D833F1" w:rsidRPr="00D833F1" w:rsidRDefault="00D833F1" w:rsidP="00D833F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833F1">
        <w:rPr>
          <w:color w:val="000000" w:themeColor="text1"/>
          <w:sz w:val="28"/>
          <w:szCs w:val="28"/>
        </w:rPr>
        <w:t xml:space="preserve">После одновременного применения циклоспорина и </w:t>
      </w:r>
      <w:proofErr w:type="spellStart"/>
      <w:r w:rsidRPr="00D833F1">
        <w:rPr>
          <w:i/>
          <w:iCs/>
          <w:color w:val="000000" w:themeColor="text1"/>
          <w:sz w:val="28"/>
          <w:szCs w:val="28"/>
        </w:rPr>
        <w:t>алискирена</w:t>
      </w:r>
      <w:proofErr w:type="spellEnd"/>
      <w:r w:rsidRPr="00D833F1">
        <w:rPr>
          <w:color w:val="000000" w:themeColor="text1"/>
          <w:sz w:val="28"/>
          <w:szCs w:val="28"/>
        </w:rPr>
        <w:t xml:space="preserve">, субстрата P-гликопротеина, </w:t>
      </w:r>
      <w:proofErr w:type="spellStart"/>
      <w:r w:rsidRPr="00D833F1">
        <w:rPr>
          <w:color w:val="000000" w:themeColor="text1"/>
          <w:sz w:val="28"/>
          <w:szCs w:val="28"/>
        </w:rPr>
        <w:t>C</w:t>
      </w:r>
      <w:r w:rsidRPr="00D833F1">
        <w:rPr>
          <w:color w:val="000000" w:themeColor="text1"/>
          <w:sz w:val="28"/>
          <w:szCs w:val="28"/>
          <w:vertAlign w:val="subscript"/>
        </w:rPr>
        <w:t>max</w:t>
      </w:r>
      <w:proofErr w:type="spellEnd"/>
      <w:r w:rsidRPr="00D833F1">
        <w:rPr>
          <w:color w:val="000000" w:themeColor="text1"/>
          <w:sz w:val="28"/>
          <w:szCs w:val="28"/>
        </w:rPr>
        <w:t xml:space="preserve"> </w:t>
      </w:r>
      <w:proofErr w:type="spellStart"/>
      <w:r w:rsidRPr="00D833F1">
        <w:rPr>
          <w:color w:val="000000" w:themeColor="text1"/>
          <w:sz w:val="28"/>
          <w:szCs w:val="28"/>
        </w:rPr>
        <w:t>алискирена</w:t>
      </w:r>
      <w:proofErr w:type="spellEnd"/>
      <w:r w:rsidRPr="00D833F1">
        <w:rPr>
          <w:color w:val="000000" w:themeColor="text1"/>
          <w:sz w:val="28"/>
          <w:szCs w:val="28"/>
        </w:rPr>
        <w:t xml:space="preserve"> увеличилась примерно в 2,5 раза и AUC — примерно в 5 раз. Тем не менее фармакокинетический профиль циклоспорина существенно не меняется. Одновременное применение циклоспорина и </w:t>
      </w:r>
      <w:proofErr w:type="spellStart"/>
      <w:r w:rsidRPr="00D833F1">
        <w:rPr>
          <w:color w:val="000000" w:themeColor="text1"/>
          <w:sz w:val="28"/>
          <w:szCs w:val="28"/>
        </w:rPr>
        <w:t>алискирена</w:t>
      </w:r>
      <w:proofErr w:type="spellEnd"/>
      <w:r w:rsidRPr="00D833F1">
        <w:rPr>
          <w:color w:val="000000" w:themeColor="text1"/>
          <w:sz w:val="28"/>
          <w:szCs w:val="28"/>
        </w:rPr>
        <w:t xml:space="preserve"> не рекомендовано.</w:t>
      </w:r>
    </w:p>
    <w:p w14:paraId="3FEF1557" w14:textId="77777777" w:rsidR="00D833F1" w:rsidRPr="00D833F1" w:rsidRDefault="00D833F1" w:rsidP="00D833F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833F1">
        <w:rPr>
          <w:color w:val="000000" w:themeColor="text1"/>
          <w:sz w:val="28"/>
          <w:szCs w:val="28"/>
        </w:rPr>
        <w:t xml:space="preserve">Одновременное применение дабигатрана </w:t>
      </w:r>
      <w:proofErr w:type="spellStart"/>
      <w:r w:rsidR="00236AAE" w:rsidRPr="00236AAE">
        <w:rPr>
          <w:color w:val="000000" w:themeColor="text1"/>
          <w:sz w:val="28"/>
          <w:szCs w:val="28"/>
        </w:rPr>
        <w:t>этексилата</w:t>
      </w:r>
      <w:proofErr w:type="spellEnd"/>
      <w:r w:rsidR="00236AAE" w:rsidRPr="00236AAE">
        <w:rPr>
          <w:color w:val="000000" w:themeColor="text1"/>
          <w:sz w:val="28"/>
          <w:szCs w:val="28"/>
        </w:rPr>
        <w:t xml:space="preserve"> </w:t>
      </w:r>
      <w:r w:rsidRPr="00D833F1">
        <w:rPr>
          <w:color w:val="000000" w:themeColor="text1"/>
          <w:sz w:val="28"/>
          <w:szCs w:val="28"/>
        </w:rPr>
        <w:t>и циклоспорина не рекомендуется в связи с P-</w:t>
      </w:r>
      <w:proofErr w:type="spellStart"/>
      <w:r w:rsidRPr="00D833F1">
        <w:rPr>
          <w:color w:val="000000" w:themeColor="text1"/>
          <w:sz w:val="28"/>
          <w:szCs w:val="28"/>
        </w:rPr>
        <w:t>gp</w:t>
      </w:r>
      <w:proofErr w:type="spellEnd"/>
      <w:r w:rsidRPr="00D833F1">
        <w:rPr>
          <w:color w:val="000000" w:themeColor="text1"/>
          <w:sz w:val="28"/>
          <w:szCs w:val="28"/>
        </w:rPr>
        <w:t xml:space="preserve"> ингибирующей активностью циклоспорин</w:t>
      </w:r>
      <w:r w:rsidR="00040B73">
        <w:rPr>
          <w:color w:val="000000" w:themeColor="text1"/>
          <w:sz w:val="28"/>
          <w:szCs w:val="28"/>
        </w:rPr>
        <w:t>а</w:t>
      </w:r>
      <w:r w:rsidRPr="00D833F1">
        <w:rPr>
          <w:color w:val="000000" w:themeColor="text1"/>
          <w:sz w:val="28"/>
          <w:szCs w:val="28"/>
        </w:rPr>
        <w:t>.</w:t>
      </w:r>
    </w:p>
    <w:p w14:paraId="52127190" w14:textId="77777777" w:rsidR="00D833F1" w:rsidRPr="00D833F1" w:rsidRDefault="00D833F1" w:rsidP="00D833F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833F1">
        <w:rPr>
          <w:color w:val="000000" w:themeColor="text1"/>
          <w:sz w:val="28"/>
          <w:szCs w:val="28"/>
        </w:rPr>
        <w:t xml:space="preserve">Одновременное применение </w:t>
      </w:r>
      <w:proofErr w:type="spellStart"/>
      <w:r w:rsidRPr="00D833F1">
        <w:rPr>
          <w:i/>
          <w:iCs/>
          <w:color w:val="000000" w:themeColor="text1"/>
          <w:sz w:val="28"/>
          <w:szCs w:val="28"/>
        </w:rPr>
        <w:t>нифедипина</w:t>
      </w:r>
      <w:proofErr w:type="spellEnd"/>
      <w:r w:rsidRPr="00D833F1">
        <w:rPr>
          <w:color w:val="000000" w:themeColor="text1"/>
          <w:sz w:val="28"/>
          <w:szCs w:val="28"/>
        </w:rPr>
        <w:t xml:space="preserve"> и циклоспорина может привести к увеличению числа случаев гиперплазии десен по сравнению с применением только одного циклоспорина.</w:t>
      </w:r>
    </w:p>
    <w:p w14:paraId="289B7BAE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Одновременное применение 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диклофенака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 циклоспорина приводит к значительному росту биодоступности диклофенака с возможным развитием почечной недостаточности, которая носит обратимый характер. Увеличение биодоступности диклофенака предположительно вызвано снижением его метаболизма при «первом прохождении». Одновременное применение циклоспорина и НПВП, имеющих низкий эффект «первого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прохождения» (таких как ацетилсалициловая кислота), как правило, не приводит к ожидаемому увеличению их биодоступности.</w:t>
      </w:r>
    </w:p>
    <w:p w14:paraId="6FE477E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При одновременном применении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эверолимуса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сиролимуса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 полных доз циклоспорина в виде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микроэмульсии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повышается сывороточный креатинин. Этот эффект часто обратим при уменьшении доз циклоспорина.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Эверолимус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сиролимус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незначительно влияют на фармакокинетику циклоспорина. Одновременное применение циклоспорина значительно увеличивает концентрацию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эверолимуса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сиролимуса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в крови.</w:t>
      </w:r>
    </w:p>
    <w:p w14:paraId="2AD9EEB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С осторожностью следует назначать циклоспорин и 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калийсберегающие препараты (например, калийсберегающие диуретики, ингибиторы АКФ, антагонисты рецепторов ангиотензина II)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препараты, содержащие калий,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так как это может привести к значительному увеличению уровня калия в сыворотке кров</w:t>
      </w:r>
      <w:r w:rsidR="00040B7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5A84CC9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Циклоспорин также может увеличивать плазменные уровни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репаглинида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усиливая риск возникновения гипогликемии.</w:t>
      </w:r>
    </w:p>
    <w:p w14:paraId="24966E1F" w14:textId="77777777" w:rsidR="00D833F1" w:rsidRPr="00D833F1" w:rsidRDefault="00D833F1" w:rsidP="00D833F1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D833F1">
        <w:rPr>
          <w:color w:val="000000" w:themeColor="text1"/>
          <w:sz w:val="28"/>
          <w:szCs w:val="28"/>
          <w:lang w:val="ru-RU"/>
        </w:rPr>
        <w:t xml:space="preserve">Совместное применение </w:t>
      </w:r>
      <w:proofErr w:type="spellStart"/>
      <w:r w:rsidRPr="00D833F1">
        <w:rPr>
          <w:i/>
          <w:iCs/>
          <w:color w:val="000000" w:themeColor="text1"/>
          <w:sz w:val="28"/>
          <w:szCs w:val="28"/>
          <w:lang w:val="ru-RU"/>
        </w:rPr>
        <w:t>бозентана</w:t>
      </w:r>
      <w:proofErr w:type="spellEnd"/>
      <w:r w:rsidRPr="00D833F1"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D833F1">
        <w:rPr>
          <w:color w:val="000000" w:themeColor="text1"/>
          <w:sz w:val="28"/>
          <w:szCs w:val="28"/>
          <w:lang w:val="ru-RU"/>
        </w:rPr>
        <w:t xml:space="preserve">и циклоспорина у здоровых добровольцев способствует повышению экспозиции </w:t>
      </w:r>
      <w:proofErr w:type="spellStart"/>
      <w:r w:rsidRPr="00D833F1">
        <w:rPr>
          <w:color w:val="000000" w:themeColor="text1"/>
          <w:sz w:val="28"/>
          <w:szCs w:val="28"/>
          <w:lang w:val="ru-RU"/>
        </w:rPr>
        <w:t>бозентана</w:t>
      </w:r>
      <w:proofErr w:type="spellEnd"/>
      <w:r w:rsidRPr="00D833F1">
        <w:rPr>
          <w:color w:val="000000" w:themeColor="text1"/>
          <w:sz w:val="28"/>
          <w:szCs w:val="28"/>
          <w:lang w:val="ru-RU"/>
        </w:rPr>
        <w:t xml:space="preserve"> в несколько раз; экспозиция циклоспорина при этом понижается на 35%. Одновременное применение циклоспорина и </w:t>
      </w:r>
      <w:proofErr w:type="spellStart"/>
      <w:r w:rsidRPr="00D833F1">
        <w:rPr>
          <w:color w:val="000000" w:themeColor="text1"/>
          <w:sz w:val="28"/>
          <w:szCs w:val="28"/>
          <w:lang w:val="ru-RU"/>
        </w:rPr>
        <w:t>бозентана</w:t>
      </w:r>
      <w:proofErr w:type="spellEnd"/>
      <w:r w:rsidRPr="00D833F1">
        <w:rPr>
          <w:color w:val="000000" w:themeColor="text1"/>
          <w:sz w:val="28"/>
          <w:szCs w:val="28"/>
          <w:lang w:val="ru-RU"/>
        </w:rPr>
        <w:t xml:space="preserve"> не рекомендовано.</w:t>
      </w:r>
    </w:p>
    <w:p w14:paraId="3A0B7075" w14:textId="77777777" w:rsidR="00D833F1" w:rsidRPr="00D833F1" w:rsidRDefault="00D833F1" w:rsidP="00D833F1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D833F1">
        <w:rPr>
          <w:color w:val="000000" w:themeColor="text1"/>
          <w:sz w:val="28"/>
          <w:szCs w:val="28"/>
          <w:lang w:val="ru-RU"/>
        </w:rPr>
        <w:t xml:space="preserve">Введение многократных доз </w:t>
      </w:r>
      <w:proofErr w:type="spellStart"/>
      <w:r w:rsidRPr="00D833F1">
        <w:rPr>
          <w:i/>
          <w:iCs/>
          <w:color w:val="000000" w:themeColor="text1"/>
          <w:sz w:val="28"/>
          <w:szCs w:val="28"/>
          <w:lang w:val="ru-RU"/>
        </w:rPr>
        <w:t>амбрисентана</w:t>
      </w:r>
      <w:proofErr w:type="spellEnd"/>
      <w:r w:rsidRPr="00D833F1">
        <w:rPr>
          <w:color w:val="000000" w:themeColor="text1"/>
          <w:sz w:val="28"/>
          <w:szCs w:val="28"/>
          <w:lang w:val="ru-RU"/>
        </w:rPr>
        <w:t xml:space="preserve"> и циклоспорина здоровым добровольцам приводило примерно к 2-кратному увеличению экспозиции </w:t>
      </w:r>
      <w:proofErr w:type="spellStart"/>
      <w:r w:rsidRPr="00D833F1">
        <w:rPr>
          <w:color w:val="000000" w:themeColor="text1"/>
          <w:sz w:val="28"/>
          <w:szCs w:val="28"/>
          <w:lang w:val="ru-RU"/>
        </w:rPr>
        <w:t>амбрисентана</w:t>
      </w:r>
      <w:proofErr w:type="spellEnd"/>
      <w:r w:rsidRPr="00D833F1">
        <w:rPr>
          <w:color w:val="000000" w:themeColor="text1"/>
          <w:sz w:val="28"/>
          <w:szCs w:val="28"/>
          <w:lang w:val="ru-RU"/>
        </w:rPr>
        <w:t>, а экспозиция циклоспорина была увеличена незначительно (примерно на 10%).</w:t>
      </w:r>
    </w:p>
    <w:p w14:paraId="63E60022" w14:textId="77777777" w:rsidR="00D833F1" w:rsidRPr="00D833F1" w:rsidRDefault="00D833F1" w:rsidP="00D833F1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D833F1">
        <w:rPr>
          <w:color w:val="000000" w:themeColor="text1"/>
          <w:sz w:val="28"/>
          <w:szCs w:val="28"/>
          <w:lang w:val="ru-RU"/>
        </w:rPr>
        <w:t xml:space="preserve">Значительно повышается экспозиция </w:t>
      </w:r>
      <w:r w:rsidRPr="00D833F1">
        <w:rPr>
          <w:i/>
          <w:iCs/>
          <w:color w:val="000000" w:themeColor="text1"/>
          <w:sz w:val="28"/>
          <w:szCs w:val="28"/>
          <w:lang w:val="ru-RU"/>
        </w:rPr>
        <w:t>антибиотиков</w:t>
      </w:r>
      <w:r w:rsidRPr="00D833F1">
        <w:rPr>
          <w:color w:val="000000" w:themeColor="text1"/>
          <w:sz w:val="28"/>
          <w:szCs w:val="28"/>
          <w:lang w:val="ru-RU"/>
        </w:rPr>
        <w:t xml:space="preserve"> группы </w:t>
      </w:r>
      <w:proofErr w:type="spellStart"/>
      <w:r w:rsidRPr="00D833F1">
        <w:rPr>
          <w:i/>
          <w:iCs/>
          <w:color w:val="000000" w:themeColor="text1"/>
          <w:sz w:val="28"/>
          <w:szCs w:val="28"/>
          <w:lang w:val="ru-RU"/>
        </w:rPr>
        <w:t>антрациклина</w:t>
      </w:r>
      <w:proofErr w:type="spellEnd"/>
      <w:r w:rsidRPr="00D833F1">
        <w:rPr>
          <w:i/>
          <w:iCs/>
          <w:color w:val="000000" w:themeColor="text1"/>
          <w:sz w:val="28"/>
          <w:szCs w:val="28"/>
          <w:lang w:val="ru-RU"/>
        </w:rPr>
        <w:t xml:space="preserve"> (например, </w:t>
      </w:r>
      <w:proofErr w:type="spellStart"/>
      <w:r w:rsidRPr="00D833F1">
        <w:rPr>
          <w:i/>
          <w:iCs/>
          <w:color w:val="000000" w:themeColor="text1"/>
          <w:sz w:val="28"/>
          <w:szCs w:val="28"/>
          <w:lang w:val="ru-RU"/>
        </w:rPr>
        <w:t>доксорубицина</w:t>
      </w:r>
      <w:proofErr w:type="spellEnd"/>
      <w:r w:rsidRPr="00D833F1">
        <w:rPr>
          <w:i/>
          <w:i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833F1">
        <w:rPr>
          <w:i/>
          <w:iCs/>
          <w:color w:val="000000" w:themeColor="text1"/>
          <w:sz w:val="28"/>
          <w:szCs w:val="28"/>
          <w:lang w:val="ru-RU"/>
        </w:rPr>
        <w:t>митоксантрона</w:t>
      </w:r>
      <w:proofErr w:type="spellEnd"/>
      <w:r w:rsidRPr="00D833F1">
        <w:rPr>
          <w:i/>
          <w:iCs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833F1">
        <w:rPr>
          <w:i/>
          <w:iCs/>
          <w:color w:val="000000" w:themeColor="text1"/>
          <w:sz w:val="28"/>
          <w:szCs w:val="28"/>
          <w:lang w:val="ru-RU"/>
        </w:rPr>
        <w:t>даунорубицина</w:t>
      </w:r>
      <w:proofErr w:type="spellEnd"/>
      <w:r w:rsidRPr="00D833F1">
        <w:rPr>
          <w:i/>
          <w:iCs/>
          <w:color w:val="000000" w:themeColor="text1"/>
          <w:sz w:val="28"/>
          <w:szCs w:val="28"/>
          <w:lang w:val="ru-RU"/>
        </w:rPr>
        <w:t>)</w:t>
      </w:r>
      <w:r w:rsidRPr="00D833F1">
        <w:rPr>
          <w:color w:val="000000" w:themeColor="text1"/>
          <w:sz w:val="28"/>
          <w:szCs w:val="28"/>
          <w:lang w:val="ru-RU"/>
        </w:rPr>
        <w:t xml:space="preserve"> у онкологических больных при одновременном внутривенном применении антибиотиков группы </w:t>
      </w:r>
      <w:proofErr w:type="spellStart"/>
      <w:r w:rsidRPr="00D833F1">
        <w:rPr>
          <w:color w:val="000000" w:themeColor="text1"/>
          <w:sz w:val="28"/>
          <w:szCs w:val="28"/>
          <w:lang w:val="ru-RU"/>
        </w:rPr>
        <w:t>антрациклина</w:t>
      </w:r>
      <w:proofErr w:type="spellEnd"/>
      <w:r w:rsidRPr="00D833F1">
        <w:rPr>
          <w:color w:val="000000" w:themeColor="text1"/>
          <w:sz w:val="28"/>
          <w:szCs w:val="28"/>
          <w:lang w:val="ru-RU"/>
        </w:rPr>
        <w:t xml:space="preserve"> и очень высоких доз циклоспорина.</w:t>
      </w:r>
    </w:p>
    <w:p w14:paraId="09A00B12" w14:textId="77777777" w:rsid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Во время лечения циклоспорином вакцинация может быть менее эффективной; использования живых ослабленных вакцин следует избегать.</w:t>
      </w:r>
    </w:p>
    <w:p w14:paraId="5BD56889" w14:textId="77777777" w:rsidR="00236AAE" w:rsidRPr="00236AAE" w:rsidRDefault="00236AAE" w:rsidP="00236AA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36AAE">
        <w:rPr>
          <w:rFonts w:ascii="Times New Roman" w:hAnsi="Times New Roman"/>
          <w:i/>
          <w:color w:val="000000" w:themeColor="text1"/>
          <w:sz w:val="28"/>
          <w:szCs w:val="28"/>
        </w:rPr>
        <w:t>Взаимодействия, приводящие к снижению уровня других препаратов</w:t>
      </w:r>
    </w:p>
    <w:p w14:paraId="2518360C" w14:textId="77777777" w:rsidR="00236AAE" w:rsidRPr="00236AAE" w:rsidRDefault="00236AAE" w:rsidP="00236AAE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Одновременное применение циклоспорина и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микофенолата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натрия или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микофенолата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мофетила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у пациентов с трансплантатами может снизить среднюю экспозицию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микофеноловой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кислоты на 20-50% по сравнению с другими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иммуносупрессантами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. Эту информацию следует принимать во внимание, особенно в случае прерывания или прекращения терапии циклоспорином.</w:t>
      </w:r>
    </w:p>
    <w:p w14:paraId="2CDE41E1" w14:textId="77777777" w:rsidR="00236AAE" w:rsidRPr="00236AAE" w:rsidRDefault="00236AAE" w:rsidP="00D833F1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Совместное назначение одной дозы циклоспорина (200 мг или 600 мг) с одной дозой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элтромбопага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(50 мг) снижало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AUC</w:t>
      </w:r>
      <w:r w:rsidRPr="00236AAE">
        <w:rPr>
          <w:rFonts w:ascii="Times New Roman" w:hAnsi="Times New Roman"/>
          <w:iCs/>
          <w:color w:val="000000" w:themeColor="text1"/>
          <w:sz w:val="28"/>
          <w:szCs w:val="28"/>
          <w:vertAlign w:val="subscript"/>
        </w:rPr>
        <w:t>inf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  <w:vertAlign w:val="subscript"/>
        </w:rPr>
        <w:t xml:space="preserve"> 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элтромбопага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плазме на 18-24% и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C</w:t>
      </w:r>
      <w:r w:rsidRPr="00236AAE">
        <w:rPr>
          <w:rFonts w:ascii="Times New Roman" w:hAnsi="Times New Roman"/>
          <w:iCs/>
          <w:color w:val="000000" w:themeColor="text1"/>
          <w:sz w:val="28"/>
          <w:szCs w:val="28"/>
          <w:vertAlign w:val="subscript"/>
        </w:rPr>
        <w:t>max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  <w:vertAlign w:val="subscript"/>
        </w:rPr>
        <w:t xml:space="preserve">  </w:t>
      </w:r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 25-39%. В ходе лечения допускается корректировка дозы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элтромбопага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зависимости от уровня тромбоцитов у пациента. При совместном назначении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элтромбопага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 циклоспорином следует контролировать уровень тромбоцитов не реже одного раза в неделю в </w:t>
      </w:r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течение 2-3 недель. Дозу </w:t>
      </w:r>
      <w:proofErr w:type="spellStart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>элтромбопага</w:t>
      </w:r>
      <w:proofErr w:type="spellEnd"/>
      <w:r w:rsidRPr="00236AA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может потребоваться увеличить на основании данных об уровне тромбоцитов.</w:t>
      </w:r>
    </w:p>
    <w:p w14:paraId="65920E35" w14:textId="77777777" w:rsidR="00D833F1" w:rsidRPr="00D833F1" w:rsidRDefault="00D833F1" w:rsidP="00D833F1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noProof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noProof/>
          <w:color w:val="000000" w:themeColor="text1"/>
          <w:sz w:val="28"/>
          <w:szCs w:val="28"/>
        </w:rPr>
        <w:t>Дети</w:t>
      </w:r>
    </w:p>
    <w:p w14:paraId="2F37ED4F" w14:textId="77777777" w:rsidR="00D833F1" w:rsidRPr="00D833F1" w:rsidRDefault="00D833F1" w:rsidP="00D833F1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Исследования лекарственного взаимодействия выполнялись только у взрослых пациентов.</w:t>
      </w:r>
    </w:p>
    <w:p w14:paraId="0F97B250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49A06CE5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Лимфомы и другие новообразования</w:t>
      </w:r>
    </w:p>
    <w:p w14:paraId="2A7E721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Как и другие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иммуносупрессанты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циклоспорин увеличивает риск развития лимфом и других новообразований, особенно кожи. Повышенный риск, очевидно, связан со степенью и продолжительностью иммуносупрессии, а не с использованием конкретных агентов.</w:t>
      </w:r>
    </w:p>
    <w:p w14:paraId="4FECDC70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Комплексное лечение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иммуносупрессантами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(включая циклоспорин) необходимо назначать с осторожностью, поскольку существует вероятность развития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лимфопролиферативных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и опухолей солидных органов, которые в некоторых случаях приводят к летальным исходам.</w:t>
      </w:r>
    </w:p>
    <w:p w14:paraId="4CD191F9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В связи с потенциальным риском возникновения злокачественных изменений кожи пациенты, получающие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в частности те, кто получает лечение псориаза или атопического дерматита, должны быть предупреждены о вреде чрезмерного пребывания на солнце без надлежащей защиты и не должны одновременно получать ультрафиолетовое излучение типа В или ПУВА-терапию (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псораленоультрафиолетовое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облучение).</w:t>
      </w:r>
    </w:p>
    <w:p w14:paraId="1ED9DCC5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Инфекции</w:t>
      </w:r>
    </w:p>
    <w:p w14:paraId="26F726D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Как и в случае с другими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иммуносупрессантами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применение циклоспорина приводит к развитию различных бактериальных, грибковых, паразитарных и вирусных инфекций, часто с участием оппортунистических патогенов. У пациентов, получающих циклоспорин, активировалась латентная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полиомавирусная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инфекция, которая может привести к возникновению нефропатии, связанной с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полиомавирусом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(PVAN), в частности к вирусной нефропатии (BKVN) с БК (бациллой Коха) или к прогрессирующей мультифокальной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лейкоэнцефалопатии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связанной с JC-вирусом (PML). Эти состояния обусловлены высокой общей нагрузкой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иммуносупрессивными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препаратами. Развитие таких состояний следует учитывать при дифференциальной диагностике причин нарушений функции почек и нервной системы пациентов, получающих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иммуносупрессивную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терапию. Сообщалось о серьезных и/или летальных случаях. Необходимо вводить эффективные профилактические и терапевтические мероприятия, особенно в случаях длительного применения комбинированной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иммуносупрессивной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терапии.</w:t>
      </w:r>
    </w:p>
    <w:p w14:paraId="7299E590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Нефротоксичность</w:t>
      </w:r>
      <w:proofErr w:type="spellEnd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508AEE4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При лечении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частым и потенциально серьезным осложнением является повышение уровня сывороточного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креатинина и мочевины. Эти функциональные изменения зависят от дозы и имеют обратимый характер; обычно при снижении дозы показатели возвращаются к норме. У некоторых пациентов длительное применение препарата может привести к появлению структурных изменений в почках (например, интерстициальный фиброз), которые следует отличать от признаков хронического отторжения у пациентов с трансплантированной почкой. Поэтому требуется частый мониторинг функции почек в соответствии с местными рекомендациями по данному показанию.</w:t>
      </w:r>
    </w:p>
    <w:p w14:paraId="092A11C3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Гепатотоксичность</w:t>
      </w:r>
      <w:proofErr w:type="spellEnd"/>
    </w:p>
    <w:p w14:paraId="2DF80A6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Препарат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также может вызывать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дозозависимое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повышение уровня билирубина и ферментов печени в сыворотке, которое носит обратимый характер. У пациентов, принимающих циклоспорин, были зарегистрированы случаи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гепатотоксичности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и нарушений функции печени, включая холестаз, желтуху, гепатит и печеночную недостаточность. Большинство сообщений касалось пациентов с серьезными сопутствующими заболеваниями, с разными исходными условиями и другими отягощающими факторами, включая инфекционные осложнения и сопутствующее использование потенциально гепатотоксических препаратов. В некоторых случаях, в основном у пациентов после трансплантации, зарегистрированы летальные исходы. Необходимо проводить тщательный регулярный контроль соответствующих показателей функции печени; при необходимости следует снизить дозу, когда фиксируются отклонения этих показателей от нормы.</w:t>
      </w:r>
    </w:p>
    <w:p w14:paraId="1FB403D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Пациенты пожилого возраста (от 65 лет и старше)</w:t>
      </w:r>
    </w:p>
    <w:p w14:paraId="5803EA3A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Необходимо особенно тщательно контролировать функцию почек у пациентов пожилого возраста.</w:t>
      </w:r>
    </w:p>
    <w:p w14:paraId="293DA9D5" w14:textId="77777777" w:rsidR="00236AAE" w:rsidRDefault="00236AAE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36A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Контроль уровня циклоспорина </w:t>
      </w:r>
    </w:p>
    <w:p w14:paraId="3DA9266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При применении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а у пациентов после трансплантации в качестве важной меры безопасности необходим тщательный периодический мониторинг уровня циклоспорина в крови. Уровни циклоспорина в крови предпочтительно определять с использованием специфических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моноклональных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антител (определение количества неизмененного препарата) или использовать высокоэффективную жидкостную хроматографию (ВЭЖХ), посредством которой также определяется количество неизмененного препарата. При количественном определении в плазме или сыворотке нужно применять стандартный метод разделения (время и температура). У реципиентов с трансплантированной печенью контроль уровней циклоспорина в крови в начале лечения нужно проводить с помощью только специфических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моноклональных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антител или с помощью параллельных определений с использованием специфических и неспецифических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моноклональных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антител, чтобы обеспечить соответствующую степень иммуносупрессии.</w:t>
      </w:r>
    </w:p>
    <w:p w14:paraId="1D32DE9D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нетрансплантационных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пациентов рекомендуется периодический мониторинг концентрации циклоспорина в крови, например, в случаях совместного применения препарата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с веществами, которые могут вмешиваться в фармакокинетику циклоспорина, или при необычной клинической реакции (такой как недостаточная эффективность или повышенная непереносимость препарата, приводящая к нарушению почечной функции).</w:t>
      </w:r>
    </w:p>
    <w:p w14:paraId="4392F26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Нужно помнить, что уровень циклоспорина в крови, плазме или сыворотке является только одним из многих факторов, влияющих на клиническое состояние пациента. Поэтому результаты следует рассматривать лишь как рекомендации по лечению в контексте целого ряда других клинических и биохимических показателей.</w:t>
      </w:r>
    </w:p>
    <w:p w14:paraId="776AD45A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Артериальная гипертензия</w:t>
      </w:r>
    </w:p>
    <w:p w14:paraId="58616699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В ходе лечения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следует регулярно контролировать показатели артериального давления. Если выявляется артериальная гипертензия, следует провести соответствующее лечение для снижения артериального давления. Предпочтение следует отдавать антигипертензивному средству, не влияющему на фармакокинетику циклоспорина, например,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исрадипину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A9D69F" w14:textId="77777777" w:rsidR="00D833F1" w:rsidRPr="00D833F1" w:rsidRDefault="00236AAE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36A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Повышение </w:t>
      </w:r>
      <w:r w:rsidR="00D833F1" w:rsidRPr="00D833F1">
        <w:rPr>
          <w:rFonts w:ascii="Times New Roman" w:hAnsi="Times New Roman"/>
          <w:i/>
          <w:color w:val="000000" w:themeColor="text1"/>
          <w:sz w:val="28"/>
          <w:szCs w:val="28"/>
        </w:rPr>
        <w:t>уровня липидов в крови</w:t>
      </w:r>
    </w:p>
    <w:p w14:paraId="2D9B5FD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были зарегистрированы случаи незначительного обратимого повышения липидов в крови при приеме препарата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уровни липидов необходимо измерять до и через один месяц после начала лечения. При обнаружении повышенного уровня липидов необходимо уменьшить долю жиров в рационе и, если нужно, рассмотреть возможность снижения дозы.</w:t>
      </w:r>
    </w:p>
    <w:p w14:paraId="3CB878E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Гиперкалиемия</w:t>
      </w:r>
      <w:proofErr w:type="spellEnd"/>
    </w:p>
    <w:p w14:paraId="0C03C9F5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При приеме циклоспорина увеличивается риск развития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гиперкалиемии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особенно у пациентов с почечной дисфункцией. С осторожностью назначают циклоспорин в комбинации с калийсберегающими препаратами (например, с калийсберегающими диуретиками, ингибиторами ангиотензин-конвертирующего фермента, антагонистами рецепторов ангиотензина II) или препаратами, содержащими калий, а также если пациенты находятся на диете, богатой калием. В таких случаях рекомендуется контролировать уровень калия.</w:t>
      </w:r>
    </w:p>
    <w:p w14:paraId="086775C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Гипомагниемия</w:t>
      </w:r>
      <w:proofErr w:type="spellEnd"/>
    </w:p>
    <w:p w14:paraId="041E087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Прием циклоспорина повышает клиренс магния. Это может привести к развитию симптоматической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гипомагниемии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прежде всего в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перитрансплантационный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период. В течение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перитрансплантационного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периода рекомендуется контролировать уровень магния в сыворотке крови, прежде всего если имеются неврологические симптомы/признаки. Если необходимо, дополнительно следует назначить препараты магния.</w:t>
      </w:r>
    </w:p>
    <w:p w14:paraId="0F38A244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Гиперурикемия</w:t>
      </w:r>
      <w:proofErr w:type="spellEnd"/>
    </w:p>
    <w:p w14:paraId="0AB5D20A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 лечении пациентов с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гиперурикемией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 проявлять осторожность.</w:t>
      </w:r>
    </w:p>
    <w:p w14:paraId="7C477A1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Живые </w:t>
      </w:r>
      <w:proofErr w:type="spellStart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аттенуированные</w:t>
      </w:r>
      <w:proofErr w:type="spellEnd"/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вакцины</w:t>
      </w:r>
    </w:p>
    <w:p w14:paraId="5D247204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Во время лечения циклоспорином вакцинация может быть менее эффективной. Следует избегать применения живых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аттенуированных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вакцин.</w:t>
      </w:r>
    </w:p>
    <w:p w14:paraId="5A36E861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Взаимодействия</w:t>
      </w:r>
    </w:p>
    <w:p w14:paraId="077DC4C8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Следует проявлять осторожность при совместном применении циклоспорина с препаратами, которые приводят к значимому повышению или снижению концентрации циклоспорина в плазме крови путем подавления или активации CYP3A4 и/или P-гликопротеина.</w:t>
      </w:r>
    </w:p>
    <w:p w14:paraId="7EF2E393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При совместном назначении циклоспорина с активными веществами, повышающими уровень циклоспорина либо демонстрирующими нефротоксический эффект синергии, следует проводить тщательный мониторинг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нефротоксичности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36A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>Необходимо тщательно следить за клиническим состоянием пациента. Может потребоваться мониторинг уровня циклоспорина в крови и корректировка дозы циклоспорина.</w:t>
      </w:r>
    </w:p>
    <w:p w14:paraId="47118413" w14:textId="77777777" w:rsidR="00D833F1" w:rsidRPr="00D833F1" w:rsidRDefault="00D833F1" w:rsidP="00D833F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Следует избегать совместного применения циклоспорина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такролимуса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04A88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Циклоспорин является ингибитором CYP3A4,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мультилекарственного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эффлюксного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транспортера P-гликопротеина и транспортных протеинов органических анионов, и может повышать концентрацию сопутствующих препаратов в плазме крови, являющихся субстратами этого фермента и/или транспортеров. Следует осторожно назначать циклоспорин в комбинации с такими препаратами или следует избегать их одновременного приема. Циклоспорин приводит к повышению воздействия ингибиторов редуктазы HMG-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CoA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). При одновременном применении с циклоспорином дозу этих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следует снизить, а также следует избегать одновременного применения данных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статинов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согласно указаниям, приведенным в соответствующей инструкции по применению. Терапия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статинами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временно отменена или приостановлена у пациентов с симптомами миопатии или у пациентов с факторами риска развития тяжелых нарушений функции почек, включая вторичную почечную недостаточность, развившуюся вследствие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рабдомиолиза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C2959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После совместного приема циклоспорина и </w:t>
      </w:r>
      <w:proofErr w:type="spellStart"/>
      <w:r w:rsidRPr="00D833F1">
        <w:rPr>
          <w:rFonts w:ascii="Times New Roman" w:hAnsi="Times New Roman"/>
          <w:i/>
          <w:iCs/>
          <w:color w:val="000000" w:themeColor="text1"/>
          <w:sz w:val="28"/>
          <w:szCs w:val="28"/>
        </w:rPr>
        <w:t>лерканидипина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площадь под кривой (AUC)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лерканидипина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увеличивалась в три раза, а AUC циклоспорина увеличивалась на 21%. Поэтому следует избегать одновременного применения циклоспорина и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лерканидипина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Прием циклоспорина через 3 часа после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лерканидипина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не приводил к изменениям AUC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лерканидипина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при этом AUC циклоспорина увеличивалась на 27%. В комбинации данные препараты необходимо использовать с осторожностью, соблюдая интервал не менее 3 часов.</w:t>
      </w:r>
    </w:p>
    <w:p w14:paraId="72F1AB6D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Дополнительные меры предосторожности при показаниях, не связанных с трансплантацией</w:t>
      </w:r>
    </w:p>
    <w:p w14:paraId="3C4A7241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>Пациенты с нарушенной функцией почек (за исключением пациентов с нефротическим синдромом с допустимой степенью нарушения функции почек), неконтролируемой артериальной гипертензией, неконтролируемыми инфекциями и любыми видами злокачественных опухолей не должны получать циклоспорин.</w:t>
      </w:r>
    </w:p>
    <w:p w14:paraId="0F0DF29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Перед началом лечения устанавливают исходный достоверный уровень параметров функций почек как минимум в двух измерениях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рСКФ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 Для коррекции дозы почечная функция должна регулярно оцениваться на протяжении терапии.</w:t>
      </w:r>
    </w:p>
    <w:p w14:paraId="25216A6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Дополнительные меры предосторожности при эндогенном увеите</w:t>
      </w:r>
    </w:p>
    <w:p w14:paraId="0DFC6E9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Пациентам с неврологическим синдромом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Бехчета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следует назначать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 осторожностью. Неврологический статус пациентов с неврологическим синдромом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Бехчета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следует тщательно контролировать.</w:t>
      </w:r>
    </w:p>
    <w:p w14:paraId="282BDAB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Опыт применения препарата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у детей с эндогенным увеитом ограничен.</w:t>
      </w:r>
    </w:p>
    <w:p w14:paraId="3572975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Дополнительные меры предосторожности при нефротическом синдроме</w:t>
      </w:r>
    </w:p>
    <w:p w14:paraId="0824BDE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>Пациенты с аномальными исходными значениями функции почек на начальном этапе лечения должны получать препарат в дозировке 2,5 мг/кг в сутки. Состояние таких пациентов необходимо регулярно контролировать.</w:t>
      </w:r>
    </w:p>
    <w:p w14:paraId="0496CDFF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Из-за изменений функции почек, обусловленных нефротическим синдромом, у некоторых пациентов бывает трудно выявить нарушение функции почек, вызванное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Это объясняет то, что в ряде случаев связанные с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структурные изменения в почках наблюдались без повышения креатинина сыворотки. Биопсия почки показана пациентам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стероидозависимой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нефропатией минимальных изменений, получавшим поддерживающую терапию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более года.</w:t>
      </w:r>
    </w:p>
    <w:p w14:paraId="28695926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Были зарегистрированы отдельные случаи развития злокачественных новообразований (включая лимфому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Ходжкина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) у пациентов с нефротическим синдромом, которые принимают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иммуносупрессанты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(включая циклоспорин).</w:t>
      </w:r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14:paraId="6C8DD26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Дополнительные меры предосторожности при ревматоидном артрите</w:t>
      </w:r>
    </w:p>
    <w:p w14:paraId="17CDC430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После 6 месяцев терапии необходимо выполнять оценку функции почек каждые 4–8 недель в зависимости от стабильности заболевания, других принимаемых препаратов и сопутствующих заболеваний. Более частый контроль необходим при повышении дозы препарата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при назначении сопутствующей терапии нестероидными противовоспалительными препаратами или повышении их дозы. Прекращение лечения необходимо и в том случае, когда во время лечения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возникает неконтролируемая артериальная гипертензия.</w:t>
      </w:r>
    </w:p>
    <w:p w14:paraId="4BEC2833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Как и при другом длительном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иммуносупрессивном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лечении, следует помнить о повышении риска возникновения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лимфопролиферативных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нарушений. Особую осторожность следует соблюдать при использовании препарата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в комбинации с метотрексатом в виду нефротоксической синергии.</w:t>
      </w:r>
    </w:p>
    <w:p w14:paraId="3DCF004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Дополнительные меры предосторожности при псориазе</w:t>
      </w:r>
    </w:p>
    <w:p w14:paraId="494B404C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Прекращение лечения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рекомендуется в том случае, когда во время лечения возникает неконтролируемая артериальная гипертензия.</w:t>
      </w:r>
    </w:p>
    <w:p w14:paraId="66EE718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Назначение препарата пациентам пожилого возраста возможно только в случаях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инвалидизирующего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псориаза; при этом необходим тщательный контроль функции почек.</w:t>
      </w:r>
    </w:p>
    <w:p w14:paraId="64866B03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Опыт применения препарата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у детей с псориазом ограничен.</w:t>
      </w:r>
    </w:p>
    <w:p w14:paraId="13C42E8E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У пациентов псориазом, получающих лечение препаратом циклоспорин, как и при другом длительном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иммуносупрессивном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лечении, сообщалось о возникновении злокачественных новообразований, особенно кожи. При наличии поражений кожи, не типичных для псориаза, а также при подозрении на их злокачественность или предраковое состояние, следует провести биопсию до начала лечения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. Лечение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пациентов со злокачественными или предраковыми поражениями возможно только после соответствующего лечения этих поражений и при отсутствии альтернативной эффективной терапии.</w:t>
      </w:r>
    </w:p>
    <w:p w14:paraId="683AB69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У нескольких пациентов псориазом, получавших лечение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, отмечались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лимфопролиферативные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заболевания. В этих случаях требовалась немедленная отмена препарата.</w:t>
      </w:r>
    </w:p>
    <w:p w14:paraId="2F7C3AEA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Пациенты, принимающие препарат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не должны получать сопутствующее ультрафиолетовое излучение типа В или ПУВА-фотохимиотерапию.</w:t>
      </w:r>
    </w:p>
    <w:p w14:paraId="4BECFE5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Дополнительные меры предосторожности при атопическом дерматите</w:t>
      </w:r>
    </w:p>
    <w:p w14:paraId="5DE65FEA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Прекращение лечения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рекомендуется в том случае, когда во время лечения возникает неконтролируемая артериальная гипертензия.</w:t>
      </w:r>
    </w:p>
    <w:p w14:paraId="69FA8E10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Опыт применения препарата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у детей с атопическим дерматитом ограничен.</w:t>
      </w:r>
    </w:p>
    <w:p w14:paraId="4C28F7E5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Назначение препарата пациентам пожилого возраста возможно только в случаях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инвалидизирующего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атопического дерматита; при этом необходим тщательный контроль функции почек.</w:t>
      </w:r>
    </w:p>
    <w:p w14:paraId="5ABADE3D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Доброкачественная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лимфоаденопатия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 обычно связана с приливами при атопическом дерматите и неизменно проходит самостоятельно или при общем улучшении течения заболевания.</w:t>
      </w:r>
    </w:p>
    <w:p w14:paraId="4DECA00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lastRenderedPageBreak/>
        <w:t>Лимфоаденопатию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появившуюся на фоне лечения циклоспорином, следует регулярно контролировать.</w:t>
      </w:r>
    </w:p>
    <w:p w14:paraId="09C40C88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Лимфоаденопатия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сохраняющаяся даже при уменьшении активности заболевания, должна быть подвергнута биопсии для исключения лимфомы.</w:t>
      </w:r>
    </w:p>
    <w:p w14:paraId="412164AB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Активное течение простого герпеса следует вылечить перед началом лечения препаратом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. Появление простого герпеса не является причиной для отмены препарата, если лечение уже начато, за исключением тяжелых случаев.</w:t>
      </w:r>
    </w:p>
    <w:p w14:paraId="391FD4DB" w14:textId="77777777" w:rsidR="00D833F1" w:rsidRPr="00D833F1" w:rsidRDefault="00D833F1" w:rsidP="00D833F1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D833F1">
        <w:rPr>
          <w:color w:val="000000" w:themeColor="text1"/>
          <w:sz w:val="28"/>
          <w:szCs w:val="28"/>
          <w:lang w:val="ru-RU"/>
        </w:rPr>
        <w:t>Кожные инфекционные заболевания, вызванные золотистым стафилококком (</w:t>
      </w:r>
      <w:r w:rsidRPr="00D833F1">
        <w:rPr>
          <w:i/>
          <w:iCs/>
          <w:color w:val="000000" w:themeColor="text1"/>
          <w:sz w:val="28"/>
          <w:szCs w:val="28"/>
        </w:rPr>
        <w:t>Staphylococcus</w:t>
      </w:r>
      <w:r w:rsidRPr="00D833F1"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D833F1">
        <w:rPr>
          <w:i/>
          <w:iCs/>
          <w:color w:val="000000" w:themeColor="text1"/>
          <w:sz w:val="28"/>
          <w:szCs w:val="28"/>
        </w:rPr>
        <w:t>aureus</w:t>
      </w:r>
      <w:r w:rsidRPr="00D833F1">
        <w:rPr>
          <w:i/>
          <w:iCs/>
          <w:color w:val="000000" w:themeColor="text1"/>
          <w:sz w:val="28"/>
          <w:szCs w:val="28"/>
          <w:lang w:val="ru-RU"/>
        </w:rPr>
        <w:t>)</w:t>
      </w:r>
      <w:r w:rsidRPr="00D833F1">
        <w:rPr>
          <w:color w:val="000000" w:themeColor="text1"/>
          <w:sz w:val="28"/>
          <w:szCs w:val="28"/>
          <w:lang w:val="ru-RU"/>
        </w:rPr>
        <w:t xml:space="preserve">, не являются абсолютным противопоказанием для терапии </w:t>
      </w:r>
      <w:proofErr w:type="spellStart"/>
      <w:r w:rsidRPr="00D833F1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D833F1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D833F1">
        <w:rPr>
          <w:color w:val="000000" w:themeColor="text1"/>
          <w:sz w:val="28"/>
          <w:szCs w:val="28"/>
          <w:lang w:val="kk-KZ"/>
        </w:rPr>
        <w:t>ом</w:t>
      </w:r>
      <w:r w:rsidRPr="00D833F1">
        <w:rPr>
          <w:color w:val="000000" w:themeColor="text1"/>
          <w:sz w:val="28"/>
          <w:szCs w:val="28"/>
          <w:lang w:val="ru-RU"/>
        </w:rPr>
        <w:t>, но должны контролироваться соответствующими антибактериальными препаратами. Следует избегать назначения эритромицина перорально, поскольку он повышает концентрацию циклоспорина в крови. При отсутствии альтернативной терапии рекомендуется тщательно контролировать концентрацию циклоспорина в крови, почечную функцию и наличие побочных эффектов циклоспорина.</w:t>
      </w:r>
    </w:p>
    <w:p w14:paraId="15359C25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Пациенты, принимающие препарат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</w:rPr>
        <w:t>, не должны получать сопутствующее ультрафиолетовое излучение типа В или ПУВА-фотохимиотерапию.</w:t>
      </w:r>
    </w:p>
    <w:p w14:paraId="44B3EEF7" w14:textId="77777777" w:rsidR="00D833F1" w:rsidRP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i/>
          <w:color w:val="000000" w:themeColor="text1"/>
          <w:sz w:val="28"/>
          <w:szCs w:val="28"/>
        </w:rPr>
        <w:t>Применение препарата у пациентов педиатрической популяции при показаниях, не связанных с трансплантацией</w:t>
      </w:r>
    </w:p>
    <w:p w14:paraId="45E3440F" w14:textId="77777777" w:rsidR="00D833F1" w:rsidRDefault="00D833F1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3F1">
        <w:rPr>
          <w:rFonts w:ascii="Times New Roman" w:hAnsi="Times New Roman"/>
          <w:color w:val="000000" w:themeColor="text1"/>
          <w:sz w:val="28"/>
          <w:szCs w:val="28"/>
        </w:rPr>
        <w:t xml:space="preserve">Препарат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D833F1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D833F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833F1">
        <w:rPr>
          <w:rFonts w:ascii="Times New Roman" w:hAnsi="Times New Roman"/>
          <w:color w:val="000000" w:themeColor="text1"/>
          <w:sz w:val="28"/>
          <w:szCs w:val="28"/>
        </w:rPr>
        <w:t>применялся для лечения нефротического синдрома; адекватный опыт применения препарата для лечения других случаев недоступен. Применение препарата у детей до 16 лет по показаниям, не связанным с трансплантацией, за исключением пациентов с нефротическим синдромом, не рекомендуется.</w:t>
      </w:r>
    </w:p>
    <w:p w14:paraId="3AB6D47B" w14:textId="77777777" w:rsidR="00617D52" w:rsidRPr="00617D52" w:rsidRDefault="00617D52" w:rsidP="00617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617D52">
        <w:rPr>
          <w:rFonts w:ascii="Times New Roman" w:hAnsi="Times New Roman"/>
          <w:i/>
          <w:iCs/>
          <w:color w:val="000000" w:themeColor="text1"/>
          <w:sz w:val="28"/>
          <w:szCs w:val="28"/>
        </w:rPr>
        <w:t>Вспомогательные вещества</w:t>
      </w:r>
    </w:p>
    <w:p w14:paraId="13025524" w14:textId="77777777" w:rsidR="00617D52" w:rsidRDefault="00617D52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D52">
        <w:rPr>
          <w:rFonts w:ascii="Times New Roman" w:hAnsi="Times New Roman"/>
          <w:color w:val="000000" w:themeColor="text1"/>
          <w:sz w:val="28"/>
          <w:szCs w:val="28"/>
        </w:rPr>
        <w:t xml:space="preserve">Данный препарат содержит в своем составе </w:t>
      </w:r>
      <w:proofErr w:type="spellStart"/>
      <w:r w:rsidRPr="00617D52">
        <w:rPr>
          <w:rFonts w:ascii="Times New Roman" w:hAnsi="Times New Roman"/>
          <w:color w:val="000000" w:themeColor="text1"/>
          <w:sz w:val="28"/>
          <w:szCs w:val="28"/>
        </w:rPr>
        <w:t>мальтитол</w:t>
      </w:r>
      <w:proofErr w:type="spellEnd"/>
      <w:r w:rsidRPr="00617D52">
        <w:rPr>
          <w:rFonts w:ascii="Times New Roman" w:hAnsi="Times New Roman"/>
          <w:color w:val="000000" w:themeColor="text1"/>
          <w:sz w:val="28"/>
          <w:szCs w:val="28"/>
        </w:rPr>
        <w:t>, который противопоказан лицам с наследственной непереносимостью фруктозы.</w:t>
      </w:r>
    </w:p>
    <w:p w14:paraId="5B89137A" w14:textId="77777777" w:rsidR="00236AAE" w:rsidRDefault="00236AAE" w:rsidP="00D8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6AAE">
        <w:rPr>
          <w:rFonts w:ascii="Times New Roman" w:hAnsi="Times New Roman"/>
          <w:color w:val="000000" w:themeColor="text1"/>
          <w:sz w:val="28"/>
          <w:szCs w:val="28"/>
        </w:rPr>
        <w:t>Данный препарат содержит в своем составе пропиленгликоль, что может вызвать эффект, подобный действию алкоголя.</w:t>
      </w:r>
    </w:p>
    <w:p w14:paraId="34BD2183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color w:val="000000" w:themeColor="text1"/>
          <w:sz w:val="28"/>
          <w:szCs w:val="28"/>
        </w:rPr>
        <w:t>Фертильность</w:t>
      </w:r>
    </w:p>
    <w:p w14:paraId="56BB7189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Имеющиеся данные о влиянии препарата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A26E70">
        <w:rPr>
          <w:rFonts w:ascii="Times New Roman" w:hAnsi="Times New Roman"/>
          <w:color w:val="000000" w:themeColor="text1"/>
          <w:sz w:val="28"/>
          <w:szCs w:val="28"/>
        </w:rPr>
        <w:t>на фертильность человека ограничены.</w:t>
      </w:r>
    </w:p>
    <w:p w14:paraId="6FFF7187" w14:textId="77777777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35B3434D" w14:textId="77777777" w:rsidR="00236AAE" w:rsidRDefault="00236AAE" w:rsidP="00236AA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36AAE">
        <w:rPr>
          <w:rFonts w:ascii="Times New Roman" w:hAnsi="Times New Roman"/>
          <w:iCs/>
          <w:sz w:val="28"/>
          <w:szCs w:val="28"/>
        </w:rPr>
        <w:t xml:space="preserve">Препарат </w:t>
      </w:r>
      <w:proofErr w:type="spellStart"/>
      <w:r w:rsidRPr="00236AAE">
        <w:rPr>
          <w:rFonts w:ascii="Times New Roman" w:hAnsi="Times New Roman"/>
          <w:iCs/>
          <w:sz w:val="28"/>
          <w:szCs w:val="28"/>
        </w:rPr>
        <w:t>Панимун</w:t>
      </w:r>
      <w:proofErr w:type="spellEnd"/>
      <w:r w:rsidRPr="00236AA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36AAE">
        <w:rPr>
          <w:rFonts w:ascii="Times New Roman" w:hAnsi="Times New Roman"/>
          <w:iCs/>
          <w:sz w:val="28"/>
          <w:szCs w:val="28"/>
        </w:rPr>
        <w:t>Биорал</w:t>
      </w:r>
      <w:proofErr w:type="spellEnd"/>
      <w:r w:rsidRPr="00236AAE">
        <w:rPr>
          <w:rFonts w:ascii="Times New Roman" w:hAnsi="Times New Roman"/>
          <w:iCs/>
          <w:sz w:val="28"/>
          <w:szCs w:val="28"/>
        </w:rPr>
        <w:t xml:space="preserve"> не следует применять во время беременности, за исключением случаев, когда предполагаемая польза для матери превышает потенциальный риск для плода. Содержание этанола в препаратах </w:t>
      </w:r>
      <w:proofErr w:type="spellStart"/>
      <w:r w:rsidRPr="00236AAE">
        <w:rPr>
          <w:rFonts w:ascii="Times New Roman" w:hAnsi="Times New Roman"/>
          <w:iCs/>
          <w:sz w:val="28"/>
          <w:szCs w:val="28"/>
        </w:rPr>
        <w:t>Панимун</w:t>
      </w:r>
      <w:proofErr w:type="spellEnd"/>
      <w:r w:rsidRPr="00236AA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36AAE">
        <w:rPr>
          <w:rFonts w:ascii="Times New Roman" w:hAnsi="Times New Roman"/>
          <w:iCs/>
          <w:sz w:val="28"/>
          <w:szCs w:val="28"/>
        </w:rPr>
        <w:t>Биорал</w:t>
      </w:r>
      <w:proofErr w:type="spellEnd"/>
      <w:r w:rsidRPr="00236AAE">
        <w:rPr>
          <w:rFonts w:ascii="Times New Roman" w:hAnsi="Times New Roman"/>
          <w:iCs/>
          <w:sz w:val="28"/>
          <w:szCs w:val="28"/>
        </w:rPr>
        <w:t xml:space="preserve"> также должно учитываться у беременных женщин.</w:t>
      </w:r>
    </w:p>
    <w:p w14:paraId="3929B32B" w14:textId="77777777" w:rsidR="00236AAE" w:rsidRPr="00236AAE" w:rsidRDefault="00236AAE" w:rsidP="00236AA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36AAE">
        <w:rPr>
          <w:rFonts w:ascii="Times New Roman" w:hAnsi="Times New Roman"/>
          <w:iCs/>
          <w:sz w:val="28"/>
          <w:szCs w:val="28"/>
        </w:rPr>
        <w:t xml:space="preserve">Циклоспорин проникает в грудное молоко. Женщины, получающие </w:t>
      </w:r>
      <w:proofErr w:type="spellStart"/>
      <w:r w:rsidRPr="00236AAE">
        <w:rPr>
          <w:rFonts w:ascii="Times New Roman" w:hAnsi="Times New Roman"/>
          <w:iCs/>
          <w:sz w:val="28"/>
          <w:szCs w:val="28"/>
        </w:rPr>
        <w:t>Панимун</w:t>
      </w:r>
      <w:proofErr w:type="spellEnd"/>
      <w:r w:rsidRPr="00236AAE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proofErr w:type="spellStart"/>
      <w:r w:rsidRPr="00236AAE">
        <w:rPr>
          <w:rFonts w:ascii="Times New Roman" w:hAnsi="Times New Roman"/>
          <w:iCs/>
          <w:sz w:val="28"/>
          <w:szCs w:val="28"/>
        </w:rPr>
        <w:t>Биорал</w:t>
      </w:r>
      <w:proofErr w:type="spellEnd"/>
      <w:r w:rsidRPr="00236AAE">
        <w:rPr>
          <w:rFonts w:ascii="Times New Roman" w:hAnsi="Times New Roman"/>
          <w:iCs/>
          <w:sz w:val="28"/>
          <w:szCs w:val="28"/>
        </w:rPr>
        <w:t xml:space="preserve">, не должны кормить грудью, так как препарат </w:t>
      </w:r>
      <w:r w:rsidRPr="00236AAE">
        <w:rPr>
          <w:rFonts w:ascii="Times New Roman" w:hAnsi="Times New Roman"/>
          <w:iCs/>
          <w:sz w:val="28"/>
          <w:szCs w:val="28"/>
        </w:rPr>
        <w:lastRenderedPageBreak/>
        <w:t>потенциально может вызывать тяжелые нежелательные реакции у новорожденных младенцев, вскармливаемых грудным молоком. Следует принять решение относительно отказа от приема лекарственного средства в период кормления грудью либо наоборот, учитывая важность препарата для матери.</w:t>
      </w:r>
    </w:p>
    <w:p w14:paraId="0FCB5C6E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07A59958" w14:textId="77777777" w:rsidR="00236AAE" w:rsidRPr="00236AAE" w:rsidRDefault="00236AAE" w:rsidP="00236A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>Панимун</w:t>
      </w:r>
      <w:proofErr w:type="spellEnd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>Биорал</w:t>
      </w:r>
      <w:proofErr w:type="spellEnd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вызывать неврологические и зрительные нарушения. </w:t>
      </w:r>
      <w:proofErr w:type="spellStart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>Панимун</w:t>
      </w:r>
      <w:proofErr w:type="spellEnd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>Биорал</w:t>
      </w:r>
      <w:proofErr w:type="spellEnd"/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оказывать умеренное влияние на способность управлять транспортными средствами и работу с механизмами. Следует соблюдать осторожность при вождении автомобиля или работе с техникой.</w:t>
      </w:r>
    </w:p>
    <w:p w14:paraId="76F86CFA" w14:textId="77777777" w:rsidR="00D833F1" w:rsidRDefault="00236AAE" w:rsidP="00236A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AAE">
        <w:rPr>
          <w:rFonts w:ascii="Times New Roman" w:eastAsia="Times New Roman" w:hAnsi="Times New Roman"/>
          <w:sz w:val="28"/>
          <w:szCs w:val="28"/>
          <w:lang w:eastAsia="ru-RU"/>
        </w:rPr>
        <w:t>Исследования по влиянию циклоспорина на способность управлять транспортными средствами и работу с механизмами не проводились.</w:t>
      </w:r>
    </w:p>
    <w:p w14:paraId="3379B2E0" w14:textId="77777777" w:rsidR="00236AAE" w:rsidRPr="00844CE8" w:rsidRDefault="00236AAE" w:rsidP="00236AA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CFFF2F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6C7D96AC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90A3434" w14:textId="77777777" w:rsidR="00A26E70" w:rsidRPr="00A26E70" w:rsidRDefault="00A26E70" w:rsidP="00A26E70">
      <w:pPr>
        <w:pStyle w:val="Text"/>
        <w:spacing w:before="0"/>
        <w:outlineLvl w:val="0"/>
        <w:rPr>
          <w:snapToGrid w:val="0"/>
          <w:color w:val="000000" w:themeColor="text1"/>
          <w:sz w:val="28"/>
          <w:szCs w:val="28"/>
          <w:lang w:val="ru-RU"/>
        </w:rPr>
      </w:pPr>
      <w:bookmarkStart w:id="2" w:name="2175220275"/>
      <w:bookmarkEnd w:id="1"/>
      <w:r w:rsidRPr="00A26E70">
        <w:rPr>
          <w:snapToGrid w:val="0"/>
          <w:color w:val="000000" w:themeColor="text1"/>
          <w:sz w:val="28"/>
          <w:szCs w:val="28"/>
          <w:lang w:val="ru-RU"/>
        </w:rPr>
        <w:t>Диапазоны дозировки для перорального приема представлены исключительно в качестве рекомендаций.</w:t>
      </w:r>
    </w:p>
    <w:p w14:paraId="07818224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snapToGrid w:val="0"/>
          <w:color w:val="000000" w:themeColor="text1"/>
          <w:sz w:val="28"/>
          <w:szCs w:val="28"/>
          <w:lang w:val="ru-RU"/>
        </w:rPr>
        <w:t xml:space="preserve">Суточную дозу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r w:rsidRPr="00A26E70">
        <w:rPr>
          <w:snapToGrid w:val="0"/>
          <w:color w:val="000000" w:themeColor="text1"/>
          <w:sz w:val="28"/>
          <w:szCs w:val="28"/>
          <w:lang w:val="ru-RU"/>
        </w:rPr>
        <w:t>всегда делят на два равных приема.</w:t>
      </w:r>
      <w:r w:rsidRPr="00A26E70">
        <w:rPr>
          <w:color w:val="000000" w:themeColor="text1"/>
          <w:sz w:val="28"/>
          <w:szCs w:val="28"/>
          <w:lang w:val="ru-RU"/>
        </w:rPr>
        <w:t xml:space="preserve"> Препарат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рекомендуется принимать по согласованному графику с учетом времени суток и времени приема пищи.</w:t>
      </w:r>
    </w:p>
    <w:p w14:paraId="0E6A4AFD" w14:textId="77777777" w:rsidR="00A26E70" w:rsidRPr="00A26E70" w:rsidRDefault="00A26E70" w:rsidP="00A26E70">
      <w:pPr>
        <w:pStyle w:val="Text"/>
        <w:spacing w:before="0"/>
        <w:rPr>
          <w:snapToGrid w:val="0"/>
          <w:color w:val="000000" w:themeColor="text1"/>
          <w:sz w:val="28"/>
          <w:szCs w:val="28"/>
          <w:lang w:val="ru-RU"/>
        </w:rPr>
      </w:pPr>
      <w:r w:rsidRPr="00A26E70">
        <w:rPr>
          <w:snapToGrid w:val="0"/>
          <w:color w:val="000000" w:themeColor="text1"/>
          <w:sz w:val="28"/>
          <w:szCs w:val="28"/>
          <w:lang w:val="ru-RU"/>
        </w:rPr>
        <w:t xml:space="preserve">Препарат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r w:rsidRPr="00A26E70">
        <w:rPr>
          <w:snapToGrid w:val="0"/>
          <w:color w:val="000000" w:themeColor="text1"/>
          <w:sz w:val="28"/>
          <w:szCs w:val="28"/>
          <w:lang w:val="ru-RU"/>
        </w:rPr>
        <w:t xml:space="preserve">должен назначаться только врачом, имеющим опыт проведения </w:t>
      </w:r>
      <w:proofErr w:type="spellStart"/>
      <w:r w:rsidRPr="00A26E70">
        <w:rPr>
          <w:snapToGrid w:val="0"/>
          <w:color w:val="000000" w:themeColor="text1"/>
          <w:sz w:val="28"/>
          <w:szCs w:val="28"/>
          <w:lang w:val="ru-RU"/>
        </w:rPr>
        <w:t>иммуносупрессивной</w:t>
      </w:r>
      <w:proofErr w:type="spellEnd"/>
      <w:r w:rsidRPr="00A26E70">
        <w:rPr>
          <w:snapToGrid w:val="0"/>
          <w:color w:val="000000" w:themeColor="text1"/>
          <w:sz w:val="28"/>
          <w:szCs w:val="28"/>
          <w:lang w:val="ru-RU"/>
        </w:rPr>
        <w:t xml:space="preserve"> терапии и (или) трансплантации органов, либо в </w:t>
      </w:r>
      <w:r w:rsidR="00236AAE" w:rsidRPr="00236AAE">
        <w:rPr>
          <w:snapToGrid w:val="0"/>
          <w:color w:val="000000" w:themeColor="text1"/>
          <w:sz w:val="28"/>
          <w:szCs w:val="28"/>
          <w:lang w:val="ru-RU"/>
        </w:rPr>
        <w:t xml:space="preserve">тесном </w:t>
      </w:r>
      <w:r w:rsidRPr="00A26E70">
        <w:rPr>
          <w:snapToGrid w:val="0"/>
          <w:color w:val="000000" w:themeColor="text1"/>
          <w:sz w:val="28"/>
          <w:szCs w:val="28"/>
          <w:lang w:val="ru-RU"/>
        </w:rPr>
        <w:t xml:space="preserve">сотрудничестве с таким врачом. </w:t>
      </w:r>
    </w:p>
    <w:p w14:paraId="1ECB9052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Трансплантация</w:t>
      </w:r>
    </w:p>
    <w:p w14:paraId="026C6D6A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Трансплантация солидных органов</w:t>
      </w:r>
    </w:p>
    <w:p w14:paraId="14AE23E6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назначается за 12 часов до операции в суточной дозе </w:t>
      </w:r>
      <w:r w:rsidR="00236AAE" w:rsidRPr="00236AAE">
        <w:rPr>
          <w:color w:val="000000" w:themeColor="text1"/>
          <w:sz w:val="28"/>
          <w:szCs w:val="28"/>
          <w:lang w:val="ru-RU"/>
        </w:rPr>
        <w:t>10-15 мг/кг массы тела, разделенной на два приема</w:t>
      </w:r>
      <w:r w:rsidRPr="00A26E70">
        <w:rPr>
          <w:color w:val="000000" w:themeColor="text1"/>
          <w:sz w:val="28"/>
          <w:szCs w:val="28"/>
          <w:lang w:val="ru-RU"/>
        </w:rPr>
        <w:t xml:space="preserve">. После операции в течение 1–2 недель препарат назначают ежедневно в той же дозе. Затем дозу постепенно снижают с учетом концентрации веществ в крови в соответствии с местными протоколами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иммуносупрессивной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терапии до достижения поддерживающей суточной дозы 2–6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мг/кг </w:t>
      </w:r>
      <w:r w:rsidR="00236AAE" w:rsidRPr="00236AAE">
        <w:rPr>
          <w:color w:val="000000" w:themeColor="text1"/>
          <w:sz w:val="28"/>
          <w:szCs w:val="28"/>
          <w:lang w:val="ru-RU"/>
        </w:rPr>
        <w:t xml:space="preserve">массы тела </w:t>
      </w:r>
      <w:r w:rsidRPr="00A26E70">
        <w:rPr>
          <w:color w:val="000000" w:themeColor="text1"/>
          <w:sz w:val="28"/>
          <w:szCs w:val="28"/>
          <w:lang w:val="ru-RU"/>
        </w:rPr>
        <w:t>(разделенной на 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приема).</w:t>
      </w:r>
    </w:p>
    <w:p w14:paraId="77A3DE5C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При совместном применении препарата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с другими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иммуносупрессантами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(например, кортикостероидами в составе комбинированной трехкомпонентной или четырехкомпонентной терапии) можно применять препарат в меньших дозах (например, 3–6 мг/кг </w:t>
      </w:r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>массы тела в два приема на начальном этапе терапии).</w:t>
      </w:r>
    </w:p>
    <w:p w14:paraId="64965BEB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Трансплантация костного мозга</w:t>
      </w:r>
    </w:p>
    <w:p w14:paraId="775120CE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Начальную дозу следует вводить за день до трансплантации. В большинстве случаев предпочтительным препаратом для приготовления раствора для инфузии является концентрат Циклоспорина. Рекомендуемая </w:t>
      </w:r>
      <w:r w:rsidRPr="00A26E70">
        <w:rPr>
          <w:color w:val="000000" w:themeColor="text1"/>
          <w:sz w:val="28"/>
          <w:szCs w:val="28"/>
          <w:lang w:val="ru-RU"/>
        </w:rPr>
        <w:lastRenderedPageBreak/>
        <w:t>доза при внутривенном введении составляет 3–5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мг/кг в сутки. Применение инфузии следует продолжить с соблюдением данного уровня дозы в ближайшем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посттрансплантационном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периоде до 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недель — до перехода на пероральную терапию препаратом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в суточной дозе около 12,5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</w:t>
      </w:r>
      <w:r w:rsidR="00040B73" w:rsidRPr="00A26E70">
        <w:rPr>
          <w:color w:val="000000" w:themeColor="text1"/>
          <w:sz w:val="28"/>
          <w:szCs w:val="28"/>
          <w:lang w:val="ru-RU"/>
        </w:rPr>
        <w:t>кг, разделенной</w:t>
      </w:r>
      <w:r w:rsidRPr="00A26E70">
        <w:rPr>
          <w:color w:val="000000" w:themeColor="text1"/>
          <w:sz w:val="28"/>
          <w:szCs w:val="28"/>
          <w:lang w:val="ru-RU"/>
        </w:rPr>
        <w:t xml:space="preserve"> на 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приема.</w:t>
      </w:r>
    </w:p>
    <w:p w14:paraId="7E648840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Поддерживающую терапию необходимо проводить не менее 3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месяцев (предпочтительно 6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месяцев), после чего дозу в течение 1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года после трансплантации постепенно снижают до полной отмены препарата.</w:t>
      </w:r>
    </w:p>
    <w:p w14:paraId="71CC048B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Если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назначается для начального этапа терапии, то рекомендованная суточная доза составляет 12,5–15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(в 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приема) начиная со дня, предшествующего трансплантации.</w:t>
      </w:r>
    </w:p>
    <w:p w14:paraId="3AD74E18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При наличии заболеваний желудочно-кишечного тракта, приводящих к снижению всасывания, могут потребоваться более высокие дозы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или применение внутривенных инфузий препарата циклоспорин.</w:t>
      </w:r>
    </w:p>
    <w:p w14:paraId="70DBC376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У некоторых пациентов после прекращения приема циклоспорина возможно возникновение болезни «трансплантат против хозяина», которая в большинстве случаев проходит после возобновления терапии. В таких случаях следует назначать начальную дозу 10–12,5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мг/кг перорально, а затем ежедневную поддерживающую дозу, ранее признанную удовлетворительной. Для лечения этого состояния при его хроническом течении в слабо выраженной форме следует применять препарат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Биорала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низких дозах.</w:t>
      </w:r>
    </w:p>
    <w:p w14:paraId="39E6706A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proofErr w:type="spellStart"/>
      <w:r w:rsidRPr="00A26E70">
        <w:rPr>
          <w:i/>
          <w:iCs/>
          <w:color w:val="000000" w:themeColor="text1"/>
          <w:sz w:val="28"/>
          <w:szCs w:val="28"/>
          <w:u w:val="single"/>
          <w:lang w:val="ru-RU"/>
        </w:rPr>
        <w:t>Нетрансплантационные</w:t>
      </w:r>
      <w:proofErr w:type="spellEnd"/>
      <w:r w:rsidRPr="00A26E70">
        <w:rPr>
          <w:i/>
          <w:iCs/>
          <w:color w:val="000000" w:themeColor="text1"/>
          <w:sz w:val="28"/>
          <w:szCs w:val="28"/>
          <w:u w:val="single"/>
          <w:lang w:val="ru-RU"/>
        </w:rPr>
        <w:t xml:space="preserve"> показания</w:t>
      </w:r>
    </w:p>
    <w:p w14:paraId="587377BC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При применении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при любом установленном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нетрансплантационном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показании следует соблюдать следующие общие правила</w:t>
      </w:r>
      <w:r w:rsidR="00236AAE">
        <w:rPr>
          <w:color w:val="000000" w:themeColor="text1"/>
          <w:sz w:val="28"/>
          <w:szCs w:val="28"/>
          <w:lang w:val="ru-RU"/>
        </w:rPr>
        <w:t>:</w:t>
      </w:r>
    </w:p>
    <w:p w14:paraId="60C55058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Перед началом лечения устанавливают исходный достоверный уровень параметров функций почек как минимум в двух измерениях.   </w:t>
      </w:r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>Расчетная скорость клубочковой фильтрации (</w:t>
      </w:r>
      <w:proofErr w:type="spellStart"/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>рСКФ</w:t>
      </w:r>
      <w:proofErr w:type="spellEnd"/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 xml:space="preserve">) по формуле MDRD может быть использована для оценки функции почек у взрослых, а для оценки </w:t>
      </w:r>
      <w:proofErr w:type="spellStart"/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>рСКФ</w:t>
      </w:r>
      <w:proofErr w:type="spellEnd"/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 xml:space="preserve"> у детей следует использовать соответствующую формулу. </w:t>
      </w:r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препарат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может вызывать нарушения функции почек, ее необходимо оценивать часто. Если снижение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рСКФ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превышает 25% от исходного значения в более чем одном измерении, дозировка препарата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снижена на 25–50%. Если снижение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рСКФ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 более 35% от исходного значения, следует рассмотреть вопрос о </w:t>
      </w:r>
      <w:r w:rsidR="00236AAE" w:rsidRPr="00236AAE">
        <w:rPr>
          <w:rFonts w:ascii="Times New Roman" w:hAnsi="Times New Roman"/>
          <w:color w:val="000000" w:themeColor="text1"/>
          <w:sz w:val="28"/>
          <w:szCs w:val="28"/>
        </w:rPr>
        <w:t xml:space="preserve">дальнейшем </w:t>
      </w:r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снижении дозировки препарата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. Эти рекомендации следует выполнять, даже если значения концентрации креатинина продолжают оставаться в пределах лабораторной нормы. Если уменьшение дозировки не приводит к улучшению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рСКФ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одного месяца, лечение препаратом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следует прекратить. </w:t>
      </w:r>
    </w:p>
    <w:p w14:paraId="0CA83323" w14:textId="77777777" w:rsidR="00A26E70" w:rsidRPr="00A26E70" w:rsidRDefault="00A26E70" w:rsidP="00A26E70">
      <w:pPr>
        <w:pStyle w:val="Listlevel1"/>
        <w:spacing w:before="0" w:after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lastRenderedPageBreak/>
        <w:t>Необходимо регулярно контролировать показатели артериального давления.</w:t>
      </w:r>
    </w:p>
    <w:p w14:paraId="2BBE8029" w14:textId="77777777" w:rsidR="00A26E70" w:rsidRPr="00A26E70" w:rsidRDefault="00A26E70" w:rsidP="00A26E70">
      <w:pPr>
        <w:pStyle w:val="Listlevel1"/>
        <w:spacing w:before="0" w:after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Уровень билирубина и значения параметров, характеризующих печеночную функцию, определяются до начала терапии с дальнейшим </w:t>
      </w:r>
      <w:r w:rsidR="00236AAE" w:rsidRPr="00236AAE">
        <w:rPr>
          <w:color w:val="000000" w:themeColor="text1"/>
          <w:sz w:val="28"/>
          <w:szCs w:val="28"/>
          <w:lang w:val="ru-RU"/>
        </w:rPr>
        <w:t xml:space="preserve">тщательным </w:t>
      </w:r>
      <w:r w:rsidRPr="00A26E70">
        <w:rPr>
          <w:color w:val="000000" w:themeColor="text1"/>
          <w:sz w:val="28"/>
          <w:szCs w:val="28"/>
          <w:lang w:val="ru-RU"/>
        </w:rPr>
        <w:t>мониторингом в течение терапии. Перед началом лечения и регулярно во время лечения рекомендуется измерять уровень липидов сыворотки крови, калия, магния и мочевой кислоты.</w:t>
      </w:r>
    </w:p>
    <w:p w14:paraId="46477272" w14:textId="77777777" w:rsidR="00A26E70" w:rsidRPr="00A26E70" w:rsidRDefault="00A26E70" w:rsidP="00A26E70">
      <w:pPr>
        <w:pStyle w:val="Listlevel1"/>
        <w:spacing w:before="0" w:after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Нерегулярный мониторинг уровня циклоспорина в крови может быть уместным при применении по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нетрансплантационным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показаниям, например, при совместном применении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с веществами, которые могут влиять на фармакокинетику циклоспорина, или в случаях необычного клинического ответа (например, недостаточная эффективность или повышенная непереносимость препарата, приводящая к нарушению почечной функции).</w:t>
      </w:r>
    </w:p>
    <w:p w14:paraId="3DFE592E" w14:textId="77777777" w:rsidR="00A26E70" w:rsidRPr="00A26E70" w:rsidRDefault="00A26E70" w:rsidP="00A26E70">
      <w:pPr>
        <w:pStyle w:val="Listlevel1"/>
        <w:spacing w:before="0" w:after="0"/>
        <w:ind w:left="0" w:firstLine="0"/>
        <w:jc w:val="both"/>
        <w:rPr>
          <w:iCs/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Стандартный способ приема препарата — пероральный. При использовании концентрата для инфузионного раствора следует тщательно определить дозу для внутривенного введения, соответствующую пероральной дозе. Рекомендуется консультация врача, имеющего опыт лечения циклоспорином.</w:t>
      </w:r>
    </w:p>
    <w:p w14:paraId="61B0046A" w14:textId="77777777" w:rsidR="00A26E70" w:rsidRPr="00A26E70" w:rsidRDefault="00A26E70" w:rsidP="00A26E70">
      <w:pPr>
        <w:pStyle w:val="Listlevel1"/>
        <w:spacing w:before="0" w:after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Общая суточная доза не должна превышать 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мг/кг, за исключением пациентов с угрожающим зрению эндогенным увеитом и детей с нефротическим синдромом.</w:t>
      </w:r>
    </w:p>
    <w:p w14:paraId="38A63405" w14:textId="77777777" w:rsidR="00A26E70" w:rsidRPr="00A26E70" w:rsidRDefault="00A26E70" w:rsidP="00A26E70">
      <w:pPr>
        <w:pStyle w:val="Listlevel1"/>
        <w:spacing w:before="0" w:after="0"/>
        <w:ind w:left="0" w:firstLine="0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Для поддерживающей терапии дозу следует постепенно уменьшить до минимальной эффективной и хорошо переносимой.</w:t>
      </w:r>
    </w:p>
    <w:p w14:paraId="5B2671AA" w14:textId="77777777" w:rsidR="00A26E70" w:rsidRPr="00A26E70" w:rsidRDefault="00A26E70" w:rsidP="00A26E70">
      <w:pPr>
        <w:pStyle w:val="Listlevel1"/>
        <w:spacing w:before="0" w:after="0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Следует прекратить лечение препаратом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при отсутствии адекватного терапевтического ответа в положенный отведенный период (конкретная информация приведена ниже) или при несовместимости эффективной дозы с установленными правилами безопасности.</w:t>
      </w:r>
    </w:p>
    <w:p w14:paraId="6CE37C65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Эндогенный увеит</w:t>
      </w:r>
    </w:p>
    <w:p w14:paraId="6E280F46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Для индукции ремиссии препарат назначают в начальной суточной дозе 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мг/кг перорально в два приема до исчезновения признаков активного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увеального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воспаления и улучшения остроты зрения. В случаях, трудно поддающихся лечению, на непродолжительный период можно увеличить дозу до 7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в сутки.</w:t>
      </w:r>
    </w:p>
    <w:p w14:paraId="11DECF84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Если не удается контролировать ситуацию с помощью одного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, для достижения начальной ремиссии или для купирования приступа воспаления </w:t>
      </w:r>
      <w:r w:rsidR="00236AAE" w:rsidRPr="00236AAE">
        <w:rPr>
          <w:color w:val="000000" w:themeColor="text1"/>
          <w:sz w:val="28"/>
          <w:szCs w:val="28"/>
          <w:lang w:val="ru-RU"/>
        </w:rPr>
        <w:t xml:space="preserve">глаз </w:t>
      </w:r>
      <w:r w:rsidRPr="00A26E70">
        <w:rPr>
          <w:color w:val="000000" w:themeColor="text1"/>
          <w:sz w:val="28"/>
          <w:szCs w:val="28"/>
          <w:lang w:val="ru-RU"/>
        </w:rPr>
        <w:t xml:space="preserve">можно добавить системные </w:t>
      </w:r>
      <w:r w:rsidR="00236AAE" w:rsidRPr="00236AAE">
        <w:rPr>
          <w:color w:val="000000" w:themeColor="text1"/>
          <w:sz w:val="28"/>
          <w:szCs w:val="28"/>
          <w:lang w:val="ru-RU"/>
        </w:rPr>
        <w:t xml:space="preserve">кортикостероиды </w:t>
      </w:r>
      <w:r w:rsidRPr="00A26E70">
        <w:rPr>
          <w:color w:val="000000" w:themeColor="text1"/>
          <w:sz w:val="28"/>
          <w:szCs w:val="28"/>
          <w:lang w:val="ru-RU"/>
        </w:rPr>
        <w:t>в суточной дозе 0,2-0,6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преднизолона (или другого ГКС в эквивалентной дозе). Через 3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месяца дозу кортикостероидов можно снизить до самой </w:t>
      </w:r>
      <w:r w:rsidR="00236AAE" w:rsidRPr="00236AAE">
        <w:rPr>
          <w:color w:val="000000" w:themeColor="text1"/>
          <w:sz w:val="28"/>
          <w:szCs w:val="28"/>
          <w:lang w:val="ru-RU"/>
        </w:rPr>
        <w:t xml:space="preserve">минимальной </w:t>
      </w:r>
      <w:r w:rsidRPr="00A26E70">
        <w:rPr>
          <w:color w:val="000000" w:themeColor="text1"/>
          <w:sz w:val="28"/>
          <w:szCs w:val="28"/>
          <w:lang w:val="ru-RU"/>
        </w:rPr>
        <w:t>эффективной дозы.</w:t>
      </w:r>
    </w:p>
    <w:p w14:paraId="2BCBC1C3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Для поддерживающей терапии дозу следует постепенно уменьшить до минимальной эффективной. В период ремиссии заболевания доза не должна превышать 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в сутки.</w:t>
      </w:r>
    </w:p>
    <w:p w14:paraId="42D52244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Перед использованием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иммуносупрессантов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следует исключить инфекционные причины увеита.</w:t>
      </w:r>
    </w:p>
    <w:p w14:paraId="05906F09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Нефротический синдром</w:t>
      </w:r>
    </w:p>
    <w:p w14:paraId="11006811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Для индукции ремиссии рекомендуемая суточная доза делится на 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приема перорально.</w:t>
      </w:r>
    </w:p>
    <w:p w14:paraId="57A505B4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Если функция почек нормальная (за исключением протеинурии), применяются следующие рекомендуемые суточные дозы:</w:t>
      </w:r>
    </w:p>
    <w:p w14:paraId="70D8A6B3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взрослые пациенты — 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мг/кг;</w:t>
      </w:r>
    </w:p>
    <w:p w14:paraId="428018D6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дети — 6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мг/кг.</w:t>
      </w:r>
    </w:p>
    <w:p w14:paraId="4745B4AA" w14:textId="77777777" w:rsidR="00A26E70" w:rsidRPr="00A26E70" w:rsidRDefault="00A26E70" w:rsidP="00A26E70">
      <w:pPr>
        <w:pStyle w:val="Text"/>
        <w:spacing w:before="0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У пациентов с нарушением функции почек начальная доза не должна превышать 2,5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в сутки.</w:t>
      </w:r>
    </w:p>
    <w:p w14:paraId="5830BF50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Если при применении одного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не достигается удовлетворительного эффекта, особенно у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стероидорезистентных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пациентов, то рекомендуется его комбинация с низкими дозами пероральных кортикостероидов.</w:t>
      </w:r>
    </w:p>
    <w:p w14:paraId="61284CEE" w14:textId="77777777" w:rsidR="00A26E70" w:rsidRPr="00A26E70" w:rsidRDefault="00A26E70" w:rsidP="00A26E70">
      <w:pPr>
        <w:pStyle w:val="Text"/>
        <w:spacing w:before="0"/>
        <w:rPr>
          <w:b/>
          <w:i/>
          <w:color w:val="000000" w:themeColor="text1"/>
          <w:sz w:val="28"/>
          <w:szCs w:val="28"/>
          <w:u w:val="single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Время улучшения составляет от 3 до 6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месяцев в зависимости от типа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гломерулопатии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. Если в течение этого периода улучшения не наблюдалось, терапию препаратом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следует прекратить.</w:t>
      </w:r>
    </w:p>
    <w:p w14:paraId="621C43BD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Дозы должны подбираться индивидуально, с учетом показателей эффективности (протеинурия) и безопасности, но не следует превышать дозу 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в сутки для взрослых и 6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в сутки у детей.</w:t>
      </w:r>
    </w:p>
    <w:p w14:paraId="715F9E78" w14:textId="77777777" w:rsidR="00A26E70" w:rsidRPr="00A26E70" w:rsidRDefault="00A26E70" w:rsidP="00A26E70">
      <w:pPr>
        <w:pStyle w:val="Text"/>
        <w:spacing w:before="0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Для поддерживающей терапии дозу следует постепенно уменьшить до минимальной эффективной.</w:t>
      </w:r>
    </w:p>
    <w:p w14:paraId="7C4F689C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Ревматоидный артрит</w:t>
      </w:r>
    </w:p>
    <w:p w14:paraId="0D6D352A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В течение первых 6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недель лечения рекомендованная доза составляет 3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мг/кг в сутки </w:t>
      </w:r>
      <w:r w:rsidR="00236AAE" w:rsidRPr="00236AAE">
        <w:rPr>
          <w:color w:val="000000" w:themeColor="text1"/>
          <w:sz w:val="28"/>
          <w:szCs w:val="28"/>
          <w:lang w:val="ru-RU"/>
        </w:rPr>
        <w:t xml:space="preserve">перорально </w:t>
      </w:r>
      <w:r w:rsidRPr="00A26E70">
        <w:rPr>
          <w:color w:val="000000" w:themeColor="text1"/>
          <w:sz w:val="28"/>
          <w:szCs w:val="28"/>
          <w:lang w:val="ru-RU"/>
        </w:rPr>
        <w:t>в 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приема. В случае недостаточного эффекта суточная доза может быть постепенно увеличена, если позволяет переносимость, но не следует превышать 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мг/кг. Для достижения полной эффективности может потребоваться до 12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недель терапии препаратом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>.</w:t>
      </w:r>
    </w:p>
    <w:p w14:paraId="319D55EA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Для поддерживающей терапии минимальная эффективная доза должна быть подобрана индивидуально в зависимости от переносимости препарата.</w:t>
      </w:r>
    </w:p>
    <w:p w14:paraId="7BF5BAAF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можно назначать в сочетании с низкими дозами кортикостероидов и/или нестероидными противовоспалительными препаратами.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можно также сочетать с недельным курсом метотрексата в низких дозах у пациентов с неудовлетворительным ответом на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монотерапию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метотрексатом. Начальная доза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составляет 2,5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мг/кг/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сут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(в 2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приема), при этом дозу можно повышать до уровня, лимитируемого переносимостью.</w:t>
      </w:r>
    </w:p>
    <w:p w14:paraId="1D07D31F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Псориаз</w:t>
      </w: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</w:p>
    <w:p w14:paraId="503B165D" w14:textId="77777777" w:rsidR="00A26E70" w:rsidRPr="00A26E70" w:rsidRDefault="00A26E70" w:rsidP="00A2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Лечение препаратом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должен выполнять врач, имеющий опыт в диагностике и лечении псориаза. По причине вариабельности этого </w:t>
      </w:r>
      <w:r w:rsidRPr="00A26E70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заболевания лечение должно быть подобрано индивидуально. Для индукции ремиссии рекомендуемая начальная доза составляет 2,5 мг/кг в сутки в 2 приема. При отсутствии улучшения после 1 месяца терапии суточная доза может быть постепенно увеличена, но не должна превышать 5 мг/кг. Лечение должно быть прекращено, если не был достигнут удовлетворительный ответ по проявлениям псориаза после 6 недель лечения дозой 5 мг/кг в сутки или если эффективная доза не соответствует установленным параметрам безопасности.</w:t>
      </w:r>
    </w:p>
    <w:p w14:paraId="05D5E048" w14:textId="77777777" w:rsidR="00A26E70" w:rsidRPr="00A26E70" w:rsidRDefault="00A26E70" w:rsidP="00A26E70">
      <w:pPr>
        <w:pStyle w:val="Text"/>
        <w:spacing w:before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>Применение начальной дозы 5 мг/кг/</w:t>
      </w:r>
      <w:proofErr w:type="spellStart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>сут</w:t>
      </w:r>
      <w:proofErr w:type="spellEnd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оправдано у пациентов, состояние которых требует скорейшего улучшения. Если удовлетворительный ответ достигнут, то препарат </w:t>
      </w:r>
      <w:proofErr w:type="spellStart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>Панимун</w:t>
      </w:r>
      <w:proofErr w:type="spellEnd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>Биорал</w:t>
      </w:r>
      <w:proofErr w:type="spellEnd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можно отменить, а последующий рецидив лечить повторным назначением препарата </w:t>
      </w:r>
      <w:proofErr w:type="spellStart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>Панимун</w:t>
      </w:r>
      <w:proofErr w:type="spellEnd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>Биорал</w:t>
      </w:r>
      <w:proofErr w:type="spellEnd"/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в предыдущей эффективной дозе. Некоторым пациентам может потребоваться длительная поддерживающая терапия.</w:t>
      </w:r>
    </w:p>
    <w:p w14:paraId="7909CC3F" w14:textId="77777777" w:rsidR="00A26E70" w:rsidRPr="00A26E70" w:rsidRDefault="00A26E70" w:rsidP="00A26E70">
      <w:pPr>
        <w:pStyle w:val="Text"/>
        <w:spacing w:before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A26E70">
        <w:rPr>
          <w:rFonts w:eastAsiaTheme="minorEastAsia"/>
          <w:color w:val="000000" w:themeColor="text1"/>
          <w:sz w:val="28"/>
          <w:szCs w:val="28"/>
          <w:lang w:val="ru-RU" w:eastAsia="ru-RU"/>
        </w:rPr>
        <w:t>Для поддерживающей терапии дозы подбираются индивидуально до минимального эффективного уровня и не должны превышать 5 мг/кг в сутки.</w:t>
      </w:r>
    </w:p>
    <w:p w14:paraId="07ED7F88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Атопический дерматит</w:t>
      </w:r>
    </w:p>
    <w:p w14:paraId="3D423496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Лечение препаратом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должен выполнять врач, имеющий опыт в диагностике и лечении атопического дерматита. По причине вариабельности этого заболевания лечение должно быть подобрано индивидуально. Рекомендуемая начальная доза 2,5–5 мг/кг в сутки в 2 приема. Если начальная доза 2,5 мг/кг в сутки не позволяет достичь удовлетворительного ответа в течение 2 недель, то суточную дозу можно быстро увеличить до максимальной — 5 мг/кг. В очень тяжелых случаях можно достичь быстрого и адекватного контроля заболевания, применяя начальную дозу 5 мг/кг в сутки. При достижении удовлетворительного ответа доза должна быть постепенно снижена, и, если возможно,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следует отменить. В случае возникновения рецидива может быть проведен повторный курс лечения препаратом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Панимун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26E70">
        <w:rPr>
          <w:rFonts w:ascii="Times New Roman" w:hAnsi="Times New Roman"/>
          <w:color w:val="000000" w:themeColor="text1"/>
          <w:sz w:val="28"/>
          <w:szCs w:val="28"/>
        </w:rPr>
        <w:t>Биорал</w:t>
      </w:r>
      <w:proofErr w:type="spellEnd"/>
      <w:r w:rsidRPr="00A26E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E83077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color w:val="000000" w:themeColor="text1"/>
          <w:sz w:val="28"/>
          <w:szCs w:val="28"/>
        </w:rPr>
        <w:t>Несмотря на то, что курс лечения продолжительностью 8 недель может быть достаточным для очищения кожных покровов, было доказано, что терапия длительностью до 1 года эффективна и хорошо переносится при условии обязательного мониторинга всех необходимых показателей.</w:t>
      </w:r>
    </w:p>
    <w:p w14:paraId="79981420" w14:textId="77777777" w:rsidR="00A26E70" w:rsidRPr="00A26E70" w:rsidRDefault="00A26E70" w:rsidP="00A26E70">
      <w:pPr>
        <w:pStyle w:val="Text"/>
        <w:spacing w:before="0"/>
        <w:outlineLvl w:val="0"/>
        <w:rPr>
          <w:i/>
          <w:color w:val="000000" w:themeColor="text1"/>
          <w:sz w:val="28"/>
          <w:szCs w:val="28"/>
          <w:u w:val="single"/>
          <w:lang w:val="ru-RU"/>
        </w:rPr>
      </w:pPr>
      <w:r w:rsidRPr="00A26E70">
        <w:rPr>
          <w:i/>
          <w:iCs/>
          <w:color w:val="000000" w:themeColor="text1"/>
          <w:sz w:val="28"/>
          <w:szCs w:val="28"/>
          <w:u w:val="single"/>
          <w:lang w:val="ru-RU"/>
        </w:rPr>
        <w:t>Переход с одной пероральной лекарственной формы циклоспорина на другую</w:t>
      </w:r>
    </w:p>
    <w:p w14:paraId="5A491A17" w14:textId="77777777" w:rsidR="00A26E70" w:rsidRPr="00A26E70" w:rsidRDefault="00A26E70" w:rsidP="00A26E70">
      <w:pPr>
        <w:pStyle w:val="Text"/>
        <w:spacing w:before="0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При переходе с приема оригинальной лекарственной формы циклоспорина на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при сохранении соотношения доз 1:1 значения остаточных концентраций циклоспорина, определяемые концентрации в крови, являются сопоставимыми. Однако у многих пациентов могут наблюдаться более высокие значения максимальной концентрации (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C</w:t>
      </w:r>
      <w:r w:rsidRPr="00A26E70">
        <w:rPr>
          <w:color w:val="000000" w:themeColor="text1"/>
          <w:sz w:val="28"/>
          <w:szCs w:val="28"/>
          <w:vertAlign w:val="subscript"/>
          <w:lang w:val="ru-RU"/>
        </w:rPr>
        <w:t>max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) и увеличение продолжительности воздействия препарата (площадь под кривой «концентрация-время» - AUC). Эти изменения заметны только у </w:t>
      </w:r>
      <w:r w:rsidRPr="00A26E70">
        <w:rPr>
          <w:color w:val="000000" w:themeColor="text1"/>
          <w:sz w:val="28"/>
          <w:szCs w:val="28"/>
          <w:lang w:val="ru-RU"/>
        </w:rPr>
        <w:lastRenderedPageBreak/>
        <w:t xml:space="preserve">небольшого количества пациентов и могут быть клинически значимыми. Абсорбция пероральной формы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менее изменчива, и корреляция между остаточными концентрациями и воздействием (по значениям AUC) является намного более выраженной, чем при применении оригинальной лекарственной формы циклоспорина.</w:t>
      </w:r>
    </w:p>
    <w:p w14:paraId="417AD7F8" w14:textId="77777777" w:rsidR="00A26E70" w:rsidRPr="00A26E70" w:rsidRDefault="00A26E70" w:rsidP="00A26E70">
      <w:pPr>
        <w:pStyle w:val="Text"/>
        <w:spacing w:before="0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Поскольку переход с оригинальной лекарственной формы циклоспорина на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может привести к повышенному воздействию циклоспорина, следует соблюдать следующие правила.</w:t>
      </w:r>
    </w:p>
    <w:p w14:paraId="20BC295A" w14:textId="77777777" w:rsidR="00A26E70" w:rsidRPr="00A26E70" w:rsidRDefault="00A26E70" w:rsidP="00A26E70">
      <w:pPr>
        <w:pStyle w:val="Text"/>
        <w:spacing w:before="0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У пациентов после трансплантации лечение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рекомендуется начинать с той же суточной дозы, которая была при предыдущем применении оригинальной лекарственной формы циклоспорина. Остаточную концентрацию циклоспорина в крови необходимо контролировать в течение 4-7 дней после перехода на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>. Кроме того, параметры клинической безопасности, такие как показатели функции почек и артериальное давление, следует контролировать в течение первых 2 месяцев после перехода. Если остаточная концентрация циклоспорина в крови находится вне терапевтического диапазона и / или наблюдается ухудшение параметров безопасности клинического состояния, дозу необходимо соответственно корректировать.</w:t>
      </w:r>
    </w:p>
    <w:p w14:paraId="6D8B1684" w14:textId="77777777" w:rsidR="00A26E70" w:rsidRPr="00A26E70" w:rsidRDefault="00A26E70" w:rsidP="00A26E70">
      <w:pPr>
        <w:pStyle w:val="Text"/>
        <w:spacing w:before="0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У пациентов, находящихся на лечении, не связанном с трансплантацией, терапию </w:t>
      </w:r>
      <w:bookmarkStart w:id="3" w:name="_Hlk135987377"/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bookmarkEnd w:id="3"/>
      <w:r w:rsidRPr="00A26E70">
        <w:rPr>
          <w:color w:val="000000" w:themeColor="text1"/>
          <w:sz w:val="28"/>
          <w:szCs w:val="28"/>
          <w:lang w:val="ru-RU"/>
        </w:rPr>
        <w:t>необходимо начинать с той же суточной дозы, которая была определена при применении оригинальной лекарственной формы циклоспорина. Через 2, 4 и 8 недель после перехода необходимо контролировать функцию почек и показатели артериального давления. Если уровень артериального давления заметно повышается по сравнению с показателями, которые были зафиксированы до перехода, или значения расчетной СКФ понизились на более чем 25% по сравнению с показателями до лечения оригинальной лекарственной формой циклоспорина в более чем одном измерении, то дозу следует уменьшить. В случае развития токсических реакций или при отсутствии клинического эффекта циклоспорина также необходимо контролировать показатели остаточной концентрации циклоспорина в крови.</w:t>
      </w:r>
    </w:p>
    <w:p w14:paraId="0BEBC855" w14:textId="77777777" w:rsidR="00A26E70" w:rsidRPr="00A26E70" w:rsidRDefault="00A26E70" w:rsidP="00A26E70">
      <w:pPr>
        <w:pStyle w:val="Text"/>
        <w:spacing w:before="0"/>
        <w:outlineLvl w:val="0"/>
        <w:rPr>
          <w:i/>
          <w:iCs/>
          <w:color w:val="000000" w:themeColor="text1"/>
          <w:sz w:val="28"/>
          <w:szCs w:val="28"/>
          <w:lang w:val="ru-RU"/>
        </w:rPr>
      </w:pPr>
      <w:r w:rsidRPr="00A26E70">
        <w:rPr>
          <w:i/>
          <w:iCs/>
          <w:color w:val="000000" w:themeColor="text1"/>
          <w:sz w:val="28"/>
          <w:szCs w:val="28"/>
          <w:lang w:val="ru-RU"/>
        </w:rPr>
        <w:t>Переключение между пероральными формами циклоспорина</w:t>
      </w:r>
    </w:p>
    <w:p w14:paraId="6F711A73" w14:textId="77777777" w:rsidR="00A26E70" w:rsidRDefault="00A26E70" w:rsidP="00A26E70">
      <w:pPr>
        <w:pStyle w:val="Text"/>
        <w:spacing w:before="0"/>
        <w:outlineLvl w:val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Переход с одной пероральной формы циклоспорина на другую должен осуществляться под наблюдением врача, включая мониторинг уровня циклоспорина в крови у пациентов после трансплантации</w:t>
      </w:r>
      <w:r>
        <w:rPr>
          <w:color w:val="000000" w:themeColor="text1"/>
          <w:sz w:val="28"/>
          <w:szCs w:val="28"/>
          <w:lang w:val="ru-RU"/>
        </w:rPr>
        <w:t>.</w:t>
      </w:r>
    </w:p>
    <w:p w14:paraId="6110A91C" w14:textId="77777777" w:rsidR="00A26E70" w:rsidRPr="00A26E70" w:rsidRDefault="00A26E70" w:rsidP="00A26E70">
      <w:pPr>
        <w:pStyle w:val="Text"/>
        <w:spacing w:before="0"/>
        <w:outlineLvl w:val="0"/>
        <w:rPr>
          <w:b/>
          <w:color w:val="000000" w:themeColor="text1"/>
          <w:sz w:val="28"/>
          <w:szCs w:val="28"/>
          <w:lang w:val="ru-RU"/>
        </w:rPr>
      </w:pPr>
      <w:r w:rsidRPr="00A26E70">
        <w:rPr>
          <w:b/>
          <w:iCs/>
          <w:color w:val="000000" w:themeColor="text1"/>
          <w:sz w:val="28"/>
          <w:szCs w:val="28"/>
          <w:lang w:val="ru-RU"/>
        </w:rPr>
        <w:t>Особые группы пациентов</w:t>
      </w:r>
    </w:p>
    <w:p w14:paraId="57347069" w14:textId="77777777" w:rsidR="00A26E70" w:rsidRPr="00CE3384" w:rsidRDefault="00A26E70" w:rsidP="00CE3384">
      <w:pPr>
        <w:pStyle w:val="Text"/>
        <w:spacing w:before="0"/>
        <w:outlineLvl w:val="0"/>
        <w:rPr>
          <w:i/>
          <w:color w:val="000000" w:themeColor="text1"/>
          <w:sz w:val="28"/>
          <w:szCs w:val="28"/>
          <w:lang w:val="ru-RU"/>
        </w:rPr>
      </w:pPr>
      <w:r w:rsidRPr="00A26E70">
        <w:rPr>
          <w:i/>
          <w:iCs/>
          <w:color w:val="000000" w:themeColor="text1"/>
          <w:sz w:val="28"/>
          <w:szCs w:val="28"/>
          <w:lang w:val="ru-RU"/>
        </w:rPr>
        <w:t>Пациенты с почечной недостаточностью</w:t>
      </w:r>
    </w:p>
    <w:p w14:paraId="11C952CD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Почечная недостаточность не оказывает значительного влияния на фармакокинетику, поскольку циклоспорин подвергается минимальному выведению почками. Однако из-за нефротоксического потенциала </w:t>
      </w:r>
      <w:r w:rsidRPr="00A26E70">
        <w:rPr>
          <w:color w:val="000000" w:themeColor="text1"/>
          <w:sz w:val="28"/>
          <w:szCs w:val="28"/>
          <w:lang w:val="ru-RU"/>
        </w:rPr>
        <w:lastRenderedPageBreak/>
        <w:t>циклоспорина рекомендуется проводить тщательный мониторинг функции почек.</w:t>
      </w:r>
    </w:p>
    <w:p w14:paraId="737A301A" w14:textId="77777777" w:rsidR="00A26E70" w:rsidRPr="00A26E70" w:rsidRDefault="00A26E70" w:rsidP="00A26E70">
      <w:pPr>
        <w:pStyle w:val="Text"/>
        <w:spacing w:before="0"/>
        <w:outlineLvl w:val="0"/>
        <w:rPr>
          <w:i/>
          <w:color w:val="000000" w:themeColor="text1"/>
          <w:sz w:val="28"/>
          <w:szCs w:val="28"/>
          <w:lang w:val="ru-RU"/>
        </w:rPr>
      </w:pPr>
      <w:proofErr w:type="spellStart"/>
      <w:r w:rsidRPr="00A26E70">
        <w:rPr>
          <w:i/>
          <w:color w:val="000000" w:themeColor="text1"/>
          <w:sz w:val="28"/>
          <w:szCs w:val="28"/>
          <w:lang w:val="ru-RU"/>
        </w:rPr>
        <w:t>Нетрансплантационные</w:t>
      </w:r>
      <w:proofErr w:type="spellEnd"/>
      <w:r w:rsidRPr="00A26E70">
        <w:rPr>
          <w:i/>
          <w:color w:val="000000" w:themeColor="text1"/>
          <w:sz w:val="28"/>
          <w:szCs w:val="28"/>
          <w:lang w:val="ru-RU"/>
        </w:rPr>
        <w:t xml:space="preserve"> показания</w:t>
      </w:r>
    </w:p>
    <w:p w14:paraId="3194470A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Пациенты с нарушениями функции почек по показаниям, не связанным с трансплантацией, за исключением пациентов с нефротическим синдромом, не должны принимать циклоспорин</w:t>
      </w:r>
      <w:r w:rsidR="00040B73">
        <w:rPr>
          <w:color w:val="000000" w:themeColor="text1"/>
          <w:sz w:val="28"/>
          <w:szCs w:val="28"/>
          <w:lang w:val="ru-RU"/>
        </w:rPr>
        <w:t xml:space="preserve">. </w:t>
      </w:r>
      <w:r w:rsidRPr="00A26E70">
        <w:rPr>
          <w:color w:val="000000" w:themeColor="text1"/>
          <w:sz w:val="28"/>
          <w:szCs w:val="28"/>
          <w:lang w:val="ru-RU"/>
        </w:rPr>
        <w:t>При нефротическом синдроме у пациентов с нарушением функции почек начальная доза не должна превышать 2,5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мг/кг в сутки.</w:t>
      </w:r>
    </w:p>
    <w:p w14:paraId="20760C33" w14:textId="77777777" w:rsidR="00A26E70" w:rsidRPr="00A26E70" w:rsidRDefault="00A26E70" w:rsidP="00A26E70">
      <w:pPr>
        <w:pStyle w:val="Text"/>
        <w:spacing w:before="0"/>
        <w:outlineLvl w:val="0"/>
        <w:rPr>
          <w:i/>
          <w:color w:val="000000" w:themeColor="text1"/>
          <w:sz w:val="28"/>
          <w:szCs w:val="28"/>
          <w:lang w:val="ru-RU"/>
        </w:rPr>
      </w:pPr>
      <w:r w:rsidRPr="00A26E70">
        <w:rPr>
          <w:i/>
          <w:iCs/>
          <w:color w:val="000000" w:themeColor="text1"/>
          <w:sz w:val="28"/>
          <w:szCs w:val="28"/>
          <w:lang w:val="ru-RU"/>
        </w:rPr>
        <w:t>Пациенты с печеночной недостаточностью</w:t>
      </w:r>
    </w:p>
    <w:p w14:paraId="6BBEB187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Циклоспорин в значительной степени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метаболизируется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в печени. У пациентов с нарушенной функцией печени может наблюдаться увеличение экспозиции циклоспорина приблизительно в 2–3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 xml:space="preserve">раза. У пациентов с тяжелыми нарушениями функции печени может потребоваться уменьшение дозы для поддержания уровня циклоспорина в крови в пределах рекомендуемого диапазона. Рекомендуется контролировать уровень циклоспорина в крови до достижения стабильного уровня. </w:t>
      </w:r>
    </w:p>
    <w:p w14:paraId="0DAD804E" w14:textId="77777777" w:rsidR="00A26E70" w:rsidRPr="00A26E70" w:rsidRDefault="00A26E70" w:rsidP="00A26E70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A26E70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Дети</w:t>
      </w:r>
    </w:p>
    <w:p w14:paraId="541FF857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В рамках клинических исследований было изучено влияние препарата на детей в возрасте от 1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года. В нескольких исследованиях детям и подросткам требовались и при этом хорошо переносились более высокие дозы циклоспорина на килограмм веса по сравнению с дозами, применяемыми у взрослых пациентов.</w:t>
      </w:r>
    </w:p>
    <w:p w14:paraId="698710CC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Применение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у детей с показаниями, не связанными с трансплантацией, за исключением пациентов с нефротическим синдромом, не рекомендуется.</w:t>
      </w:r>
    </w:p>
    <w:p w14:paraId="7D9C5139" w14:textId="77777777" w:rsidR="00A26E70" w:rsidRPr="00A26E70" w:rsidRDefault="00A26E70" w:rsidP="00A26E70">
      <w:pPr>
        <w:pStyle w:val="Text"/>
        <w:spacing w:before="0"/>
        <w:rPr>
          <w:i/>
          <w:color w:val="000000" w:themeColor="text1"/>
          <w:sz w:val="28"/>
          <w:szCs w:val="28"/>
          <w:lang w:val="ru-RU"/>
        </w:rPr>
      </w:pPr>
      <w:r w:rsidRPr="00A26E70">
        <w:rPr>
          <w:i/>
          <w:iCs/>
          <w:color w:val="000000" w:themeColor="text1"/>
          <w:sz w:val="28"/>
          <w:szCs w:val="28"/>
          <w:lang w:val="ru-RU"/>
        </w:rPr>
        <w:t>Пациенты пожилого возраста (от 65 лет и старше)</w:t>
      </w:r>
    </w:p>
    <w:p w14:paraId="70E50638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 xml:space="preserve">Опыт применения препарата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Панимун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26E70">
        <w:rPr>
          <w:color w:val="000000" w:themeColor="text1"/>
          <w:sz w:val="28"/>
          <w:szCs w:val="28"/>
          <w:lang w:val="ru-RU"/>
        </w:rPr>
        <w:t>Биорал</w:t>
      </w:r>
      <w:proofErr w:type="spellEnd"/>
      <w:r w:rsidRPr="00A26E70">
        <w:rPr>
          <w:color w:val="000000" w:themeColor="text1"/>
          <w:sz w:val="28"/>
          <w:szCs w:val="28"/>
          <w:lang w:val="ru-RU"/>
        </w:rPr>
        <w:t xml:space="preserve"> у пожилых пациентов ограничен.</w:t>
      </w:r>
    </w:p>
    <w:p w14:paraId="1D2C7EC4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По результатам клинических исследований лечения ревматоидного артрита с применением циклоспорина у пациентов в возрасте от 65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лет и старше чаще наблюдалось развитие систолической гипертензии в ответ на проведение терапии, а также повышение концентрации креатинина в сыворотке на ≥50% по сравнению с исходными показателями после курса терапии длительностью от 3 до 4</w:t>
      </w:r>
      <w:r w:rsidRPr="00A26E70">
        <w:rPr>
          <w:color w:val="000000" w:themeColor="text1"/>
          <w:sz w:val="28"/>
          <w:szCs w:val="28"/>
        </w:rPr>
        <w:t> </w:t>
      </w:r>
      <w:r w:rsidRPr="00A26E70">
        <w:rPr>
          <w:color w:val="000000" w:themeColor="text1"/>
          <w:sz w:val="28"/>
          <w:szCs w:val="28"/>
          <w:lang w:val="ru-RU"/>
        </w:rPr>
        <w:t>месяцев.</w:t>
      </w:r>
    </w:p>
    <w:p w14:paraId="4F07F8BF" w14:textId="77777777" w:rsidR="00A26E70" w:rsidRPr="00A26E70" w:rsidRDefault="00A26E70" w:rsidP="00A26E70">
      <w:pPr>
        <w:pStyle w:val="Text"/>
        <w:spacing w:before="0"/>
        <w:rPr>
          <w:color w:val="000000" w:themeColor="text1"/>
          <w:sz w:val="28"/>
          <w:szCs w:val="28"/>
          <w:lang w:val="ru-RU"/>
        </w:rPr>
      </w:pPr>
      <w:r w:rsidRPr="00A26E70">
        <w:rPr>
          <w:color w:val="000000" w:themeColor="text1"/>
          <w:sz w:val="28"/>
          <w:szCs w:val="28"/>
          <w:lang w:val="ru-RU"/>
        </w:rPr>
        <w:t>Подбирать дозу для пациентов пожилого возраста следует осторожно, при этом необходимо начинать с минимальной дозы и учитывать более высокую частоту снижения функции печени, почек или сердца, наличие сопутствующего заболевания или сопутствующей терапии, а также повышенную восприимчивость к инфекциям.</w:t>
      </w:r>
    </w:p>
    <w:p w14:paraId="7FDEA587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1B812CB3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4" w:name="2175220276"/>
      <w:bookmarkEnd w:id="2"/>
      <w:proofErr w:type="spellStart"/>
      <w:r w:rsidRPr="00A26E70">
        <w:rPr>
          <w:rFonts w:ascii="Times New Roman" w:hAnsi="Times New Roman"/>
          <w:color w:val="000000"/>
          <w:sz w:val="28"/>
          <w:szCs w:val="24"/>
        </w:rPr>
        <w:t>Панимун</w:t>
      </w:r>
      <w:proofErr w:type="spellEnd"/>
      <w:r w:rsidRPr="00A26E70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26E70">
        <w:rPr>
          <w:rFonts w:ascii="Times New Roman" w:hAnsi="Times New Roman"/>
          <w:color w:val="000000"/>
          <w:sz w:val="28"/>
          <w:szCs w:val="24"/>
        </w:rPr>
        <w:t>Биорал</w:t>
      </w:r>
      <w:proofErr w:type="spellEnd"/>
      <w:r w:rsidRPr="00A26E70">
        <w:rPr>
          <w:rFonts w:ascii="Times New Roman" w:hAnsi="Times New Roman"/>
          <w:color w:val="000000"/>
          <w:sz w:val="28"/>
          <w:szCs w:val="24"/>
        </w:rPr>
        <w:t xml:space="preserve"> следует проглатывать целиком.</w:t>
      </w:r>
    </w:p>
    <w:p w14:paraId="459C7DDC" w14:textId="77777777" w:rsidR="005C4B12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5" w:name="2175220278"/>
      <w:bookmarkEnd w:id="4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p w14:paraId="1F95288E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iCs/>
          <w:sz w:val="28"/>
          <w:szCs w:val="24"/>
        </w:rPr>
      </w:pPr>
      <w:r w:rsidRPr="00A26E70">
        <w:rPr>
          <w:rFonts w:ascii="Times New Roman" w:hAnsi="Times New Roman"/>
          <w:iCs/>
          <w:sz w:val="28"/>
          <w:szCs w:val="24"/>
        </w:rPr>
        <w:lastRenderedPageBreak/>
        <w:t>Полулетальная доза (LD50) циклоспорина, принимаемого перорально, составляет 2329 мг/кг для мышей, 1480 мг/кг для крыс и &gt;1000 мг/кг для кроликов. Полулетальная доза (LD50) циклоспорина, вводимая внутривенно, составляет 148 мг/кг для мышей, 104 мг/кг для крыс и 46 мг/кг для кроликов.</w:t>
      </w:r>
    </w:p>
    <w:p w14:paraId="38419BF0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4"/>
        </w:rPr>
      </w:pPr>
      <w:r w:rsidRPr="00A26E70">
        <w:rPr>
          <w:rFonts w:ascii="Times New Roman" w:hAnsi="Times New Roman"/>
          <w:i/>
          <w:iCs/>
          <w:sz w:val="28"/>
          <w:szCs w:val="24"/>
        </w:rPr>
        <w:t>Симптомы</w:t>
      </w:r>
    </w:p>
    <w:p w14:paraId="4808238C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iCs/>
          <w:sz w:val="28"/>
          <w:szCs w:val="24"/>
        </w:rPr>
      </w:pPr>
      <w:r w:rsidRPr="00A26E70">
        <w:rPr>
          <w:rFonts w:ascii="Times New Roman" w:hAnsi="Times New Roman"/>
          <w:iCs/>
          <w:sz w:val="28"/>
          <w:szCs w:val="24"/>
        </w:rPr>
        <w:t>Данные по острой передозировке циклоспорином ограничены. Пероральный прием дозы до 10 г (примерно 150 мг/кг) приводил к относительно незначительным клиническим последствиям (рвота, сонливость, головная боль, тахикардия) и у некоторых пациентов — к обратимым нарушениям функции почек умеренной степени тяжести. Случайная парентеральная передозировка циклоспорином у недоношенных новорожденных привела к тяжелой интоксикации.</w:t>
      </w:r>
    </w:p>
    <w:p w14:paraId="7B489822" w14:textId="77777777" w:rsidR="00A26E70" w:rsidRPr="00A26E70" w:rsidRDefault="00A26E70" w:rsidP="00A26E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4"/>
        </w:rPr>
      </w:pPr>
      <w:r w:rsidRPr="00A26E70">
        <w:rPr>
          <w:rFonts w:ascii="Times New Roman" w:hAnsi="Times New Roman"/>
          <w:i/>
          <w:iCs/>
          <w:sz w:val="28"/>
          <w:szCs w:val="24"/>
        </w:rPr>
        <w:t>Лечение</w:t>
      </w:r>
    </w:p>
    <w:p w14:paraId="2B014E3C" w14:textId="77777777" w:rsidR="00A26E70" w:rsidRPr="00A26E70" w:rsidRDefault="00A26E70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4"/>
        </w:rPr>
      </w:pPr>
      <w:r w:rsidRPr="00A26E70">
        <w:rPr>
          <w:rFonts w:ascii="Times New Roman" w:hAnsi="Times New Roman"/>
          <w:iCs/>
          <w:sz w:val="28"/>
          <w:szCs w:val="24"/>
        </w:rPr>
        <w:t xml:space="preserve">Во всех случаях передозировки следует провести симптоматическое лечение и общие поддерживающие мероприятия. В первые часы после передозировки следует вызвать рвоту и промыть желудок. Циклоспорин практически не выводится при диализе и </w:t>
      </w:r>
      <w:proofErr w:type="spellStart"/>
      <w:r w:rsidRPr="00A26E70">
        <w:rPr>
          <w:rFonts w:ascii="Times New Roman" w:hAnsi="Times New Roman"/>
          <w:iCs/>
          <w:sz w:val="28"/>
          <w:szCs w:val="24"/>
        </w:rPr>
        <w:t>гемоперфузии</w:t>
      </w:r>
      <w:proofErr w:type="spellEnd"/>
      <w:r w:rsidRPr="00A26E70">
        <w:rPr>
          <w:rFonts w:ascii="Times New Roman" w:hAnsi="Times New Roman"/>
          <w:iCs/>
          <w:sz w:val="28"/>
          <w:szCs w:val="24"/>
        </w:rPr>
        <w:t xml:space="preserve"> с применением активированного угля.</w:t>
      </w:r>
    </w:p>
    <w:bookmarkEnd w:id="5"/>
    <w:p w14:paraId="6C230D44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C0CFC2" w14:textId="77777777" w:rsidR="001937AD" w:rsidRDefault="001937A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6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6"/>
    <w:p w14:paraId="5AEF083D" w14:textId="77777777" w:rsidR="00330AB3" w:rsidRPr="00330AB3" w:rsidRDefault="00330AB3" w:rsidP="00330AB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</w:t>
      </w:r>
      <w:r w:rsidRPr="00330AB3">
        <w:rPr>
          <w:rFonts w:ascii="Times New Roman" w:hAnsi="Times New Roman"/>
          <w:bCs/>
          <w:iCs/>
          <w:sz w:val="28"/>
          <w:szCs w:val="28"/>
        </w:rPr>
        <w:t>ежелательные реакции классифицированы по частоте с использованием следующих обозначений:</w:t>
      </w:r>
      <w:r w:rsidRPr="00330AB3">
        <w:rPr>
          <w:rFonts w:ascii="Times New Roman" w:hAnsi="Times New Roman"/>
          <w:bCs/>
          <w:i/>
          <w:sz w:val="28"/>
          <w:szCs w:val="28"/>
        </w:rPr>
        <w:t xml:space="preserve"> очень часто (≥1/10); часто (от ≥1/100 до &lt;1/10); нечасто (от ≥1/1000 до &lt;1/100); редко (от ≥1/10 000 до &lt;1/1000); очень редко (&lt;1/10 000); неизвестно (невозможно оценить по имеющимся данным).</w:t>
      </w:r>
    </w:p>
    <w:p w14:paraId="1F1BDFEF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Очень часто </w:t>
      </w:r>
    </w:p>
    <w:p w14:paraId="0B6A8A27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330AB3" w:rsidRPr="00330AB3">
        <w:rPr>
          <w:rFonts w:ascii="Times New Roman" w:hAnsi="Times New Roman"/>
          <w:sz w:val="28"/>
          <w:szCs w:val="28"/>
        </w:rPr>
        <w:t>Гиперлипидемия</w:t>
      </w:r>
    </w:p>
    <w:p w14:paraId="1142A1BC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330AB3" w:rsidRPr="00330AB3">
        <w:rPr>
          <w:rFonts w:ascii="Times New Roman" w:hAnsi="Times New Roman"/>
          <w:sz w:val="28"/>
          <w:szCs w:val="28"/>
        </w:rPr>
        <w:t>Тремор, головная боль</w:t>
      </w:r>
    </w:p>
    <w:p w14:paraId="4443592D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Артериальная гипертензия</w:t>
      </w:r>
    </w:p>
    <w:p w14:paraId="66C0EFCF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Гирсутизм</w:t>
      </w:r>
    </w:p>
    <w:p w14:paraId="12BCB796" w14:textId="77777777" w:rsidR="00330AB3" w:rsidRPr="00844CE8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Нарушение функции почек</w:t>
      </w:r>
    </w:p>
    <w:p w14:paraId="6CDBB1BB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433E54A2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330AB3" w:rsidRPr="00330AB3">
        <w:rPr>
          <w:rFonts w:ascii="Times New Roman" w:hAnsi="Times New Roman"/>
          <w:sz w:val="28"/>
          <w:szCs w:val="28"/>
        </w:rPr>
        <w:t>Лейкопения</w:t>
      </w:r>
    </w:p>
    <w:p w14:paraId="4941B4E0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330AB3" w:rsidRPr="00330AB3">
        <w:rPr>
          <w:rFonts w:ascii="Times New Roman" w:hAnsi="Times New Roman"/>
          <w:sz w:val="28"/>
          <w:szCs w:val="28"/>
        </w:rPr>
        <w:t xml:space="preserve">Гипергликемия, анорексия, </w:t>
      </w:r>
      <w:proofErr w:type="spellStart"/>
      <w:r w:rsidR="00330AB3" w:rsidRPr="00330AB3">
        <w:rPr>
          <w:rFonts w:ascii="Times New Roman" w:hAnsi="Times New Roman"/>
          <w:sz w:val="28"/>
          <w:szCs w:val="28"/>
        </w:rPr>
        <w:t>гиперурикемия</w:t>
      </w:r>
      <w:proofErr w:type="spellEnd"/>
      <w:r w:rsidR="00330AB3" w:rsidRPr="00330A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0AB3" w:rsidRPr="00330AB3">
        <w:rPr>
          <w:rFonts w:ascii="Times New Roman" w:hAnsi="Times New Roman"/>
          <w:sz w:val="28"/>
          <w:szCs w:val="28"/>
        </w:rPr>
        <w:t>гиперкалиемия</w:t>
      </w:r>
      <w:proofErr w:type="spellEnd"/>
      <w:r w:rsidR="00330AB3" w:rsidRPr="00330A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0AB3" w:rsidRPr="00330AB3">
        <w:rPr>
          <w:rFonts w:ascii="Times New Roman" w:hAnsi="Times New Roman"/>
          <w:sz w:val="28"/>
          <w:szCs w:val="28"/>
        </w:rPr>
        <w:t>гипомагниемия</w:t>
      </w:r>
      <w:proofErr w:type="spellEnd"/>
    </w:p>
    <w:p w14:paraId="78C4D009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Судороги, парестезия</w:t>
      </w:r>
    </w:p>
    <w:p w14:paraId="316DE13B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Приливы</w:t>
      </w:r>
    </w:p>
    <w:p w14:paraId="5F6666EE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Тошнота, рвота, дискомфорт/боль в области живота, диарея, гиперплазия десен, пептическая язва</w:t>
      </w:r>
    </w:p>
    <w:p w14:paraId="768791C6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Нарушение функции печени</w:t>
      </w:r>
    </w:p>
    <w:p w14:paraId="49F0468D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30AB3">
        <w:rPr>
          <w:rFonts w:ascii="Times New Roman" w:hAnsi="Times New Roman"/>
          <w:sz w:val="28"/>
          <w:szCs w:val="28"/>
        </w:rPr>
        <w:t>Акне, гипертрихоз</w:t>
      </w:r>
    </w:p>
    <w:p w14:paraId="21CF5F2C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Миалгия, мышечные спазмы</w:t>
      </w:r>
    </w:p>
    <w:p w14:paraId="2B82ED8F" w14:textId="77777777" w:rsidR="00330AB3" w:rsidRPr="00844CE8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Лихорадка, утомляемость</w:t>
      </w:r>
    </w:p>
    <w:p w14:paraId="58E040DE" w14:textId="77777777" w:rsidR="00F40388" w:rsidRPr="00844CE8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2E256E26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330AB3" w:rsidRPr="00330AB3">
        <w:rPr>
          <w:rFonts w:ascii="Times New Roman" w:hAnsi="Times New Roman"/>
          <w:sz w:val="28"/>
          <w:szCs w:val="28"/>
        </w:rPr>
        <w:t>Тромбоцитопения, анемия</w:t>
      </w:r>
    </w:p>
    <w:p w14:paraId="6CFF780D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330AB3" w:rsidRPr="00330AB3">
        <w:rPr>
          <w:rFonts w:ascii="Times New Roman" w:hAnsi="Times New Roman"/>
          <w:sz w:val="28"/>
          <w:szCs w:val="28"/>
        </w:rPr>
        <w:t xml:space="preserve">Энцефалопатия, включая задний реверсивный </w:t>
      </w:r>
      <w:proofErr w:type="spellStart"/>
      <w:r w:rsidR="00330AB3" w:rsidRPr="00330AB3">
        <w:rPr>
          <w:rFonts w:ascii="Times New Roman" w:hAnsi="Times New Roman"/>
          <w:sz w:val="28"/>
          <w:szCs w:val="28"/>
        </w:rPr>
        <w:t>энцефалопатический</w:t>
      </w:r>
      <w:proofErr w:type="spellEnd"/>
      <w:r w:rsidR="00330AB3" w:rsidRPr="00330AB3">
        <w:rPr>
          <w:rFonts w:ascii="Times New Roman" w:hAnsi="Times New Roman"/>
          <w:sz w:val="28"/>
          <w:szCs w:val="28"/>
        </w:rPr>
        <w:t xml:space="preserve"> синдром (PRES), а также такие признаки и симптомы, как судороги, спутанность сознания, дезориентация, снижение восприимчивости, возбуждение, бессонница, нарушение зрения, корковая слепота, кома, парезы и мозжечковая атаксия</w:t>
      </w:r>
    </w:p>
    <w:p w14:paraId="1FAD792B" w14:textId="77777777" w:rsidR="00330AB3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Аллергическая сыпь</w:t>
      </w:r>
    </w:p>
    <w:p w14:paraId="5D0E3691" w14:textId="77777777" w:rsidR="00330AB3" w:rsidRPr="0067548B" w:rsidRDefault="00330AB3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0AB3">
        <w:rPr>
          <w:rFonts w:ascii="Times New Roman" w:hAnsi="Times New Roman"/>
          <w:sz w:val="28"/>
          <w:szCs w:val="28"/>
        </w:rPr>
        <w:t>Отек, увеличение массы тела</w:t>
      </w:r>
    </w:p>
    <w:p w14:paraId="0550519D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844CE8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7557ADF4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>-</w:t>
      </w:r>
      <w:r w:rsidR="00145C92" w:rsidRPr="00145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5C92" w:rsidRPr="00145C92">
        <w:rPr>
          <w:rFonts w:ascii="Times New Roman" w:hAnsi="Times New Roman"/>
          <w:sz w:val="28"/>
          <w:szCs w:val="28"/>
        </w:rPr>
        <w:t>Гемолитико</w:t>
      </w:r>
      <w:proofErr w:type="spellEnd"/>
      <w:r w:rsidR="00145C92" w:rsidRPr="00145C92">
        <w:rPr>
          <w:rFonts w:ascii="Times New Roman" w:hAnsi="Times New Roman"/>
          <w:sz w:val="28"/>
          <w:szCs w:val="28"/>
        </w:rPr>
        <w:t xml:space="preserve">-уремический синдром, </w:t>
      </w:r>
      <w:proofErr w:type="spellStart"/>
      <w:r w:rsidR="00145C92" w:rsidRPr="00145C92">
        <w:rPr>
          <w:rFonts w:ascii="Times New Roman" w:hAnsi="Times New Roman"/>
          <w:sz w:val="28"/>
          <w:szCs w:val="28"/>
        </w:rPr>
        <w:t>микроангиопатическая</w:t>
      </w:r>
      <w:proofErr w:type="spellEnd"/>
      <w:r w:rsidR="00145C92" w:rsidRPr="00145C92">
        <w:rPr>
          <w:rFonts w:ascii="Times New Roman" w:hAnsi="Times New Roman"/>
          <w:sz w:val="28"/>
          <w:szCs w:val="28"/>
        </w:rPr>
        <w:t xml:space="preserve"> гемолитическая анемия</w:t>
      </w:r>
    </w:p>
    <w:p w14:paraId="3FB95324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145C92" w:rsidRPr="00145C92">
        <w:rPr>
          <w:rFonts w:ascii="Times New Roman" w:hAnsi="Times New Roman"/>
          <w:sz w:val="28"/>
          <w:szCs w:val="28"/>
        </w:rPr>
        <w:t>Моторная полинейропатия</w:t>
      </w:r>
    </w:p>
    <w:p w14:paraId="43B75C54" w14:textId="77777777" w:rsidR="00145C92" w:rsidRPr="0067548B" w:rsidRDefault="00145C9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48B">
        <w:rPr>
          <w:rFonts w:ascii="Times New Roman" w:hAnsi="Times New Roman"/>
          <w:sz w:val="28"/>
          <w:szCs w:val="28"/>
        </w:rPr>
        <w:t>- Панкреатит</w:t>
      </w:r>
    </w:p>
    <w:p w14:paraId="6C5DCA98" w14:textId="77777777" w:rsidR="00145C92" w:rsidRPr="0067548B" w:rsidRDefault="00145C9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48B">
        <w:rPr>
          <w:rFonts w:ascii="Times New Roman" w:hAnsi="Times New Roman"/>
          <w:sz w:val="28"/>
          <w:szCs w:val="28"/>
        </w:rPr>
        <w:t>- Мышечная слабость, миопатия</w:t>
      </w:r>
    </w:p>
    <w:p w14:paraId="65321F61" w14:textId="77777777" w:rsidR="00145C92" w:rsidRPr="0067548B" w:rsidRDefault="00145C9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48B">
        <w:rPr>
          <w:rFonts w:ascii="Times New Roman" w:hAnsi="Times New Roman"/>
          <w:sz w:val="28"/>
          <w:szCs w:val="28"/>
        </w:rPr>
        <w:t>- Нарушение менструального цикла, гинекомастия</w:t>
      </w:r>
    </w:p>
    <w:p w14:paraId="4EEAB74F" w14:textId="77777777" w:rsidR="005C4B12" w:rsidRPr="00844CE8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Очень редко</w:t>
      </w:r>
      <w:r w:rsidR="00620F34" w:rsidRPr="00844CE8">
        <w:rPr>
          <w:rFonts w:ascii="Times New Roman" w:hAnsi="Times New Roman"/>
          <w:i/>
          <w:sz w:val="28"/>
          <w:szCs w:val="28"/>
        </w:rPr>
        <w:t xml:space="preserve"> </w:t>
      </w:r>
    </w:p>
    <w:p w14:paraId="1D874132" w14:textId="77777777" w:rsidR="005C4B12" w:rsidRPr="00844CE8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145C92" w:rsidRPr="00145C92">
        <w:rPr>
          <w:rFonts w:ascii="Times New Roman" w:hAnsi="Times New Roman"/>
          <w:sz w:val="28"/>
          <w:szCs w:val="28"/>
        </w:rPr>
        <w:t>Отек диска зрительного нерва, включая отек сосочка зрительного нерва, с возможным нарушением зрения, вторичным по отношению к доброкачественной внутричерепной гипертензии</w:t>
      </w:r>
    </w:p>
    <w:p w14:paraId="68DCD96D" w14:textId="77777777" w:rsidR="007E1A7B" w:rsidRPr="00145C92" w:rsidRDefault="007E1A7B" w:rsidP="007E1A7B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145C92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</w:t>
      </w:r>
      <w:r w:rsidRPr="00145C92">
        <w:rPr>
          <w:rFonts w:ascii="Times New Roman" w:hAnsi="Times New Roman"/>
          <w:i/>
          <w:sz w:val="32"/>
          <w:szCs w:val="32"/>
        </w:rPr>
        <w:t>)</w:t>
      </w:r>
    </w:p>
    <w:p w14:paraId="7B8E28A0" w14:textId="77777777" w:rsidR="005C4B12" w:rsidRPr="00844CE8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A7B">
        <w:rPr>
          <w:rFonts w:ascii="Times New Roman" w:hAnsi="Times New Roman"/>
          <w:sz w:val="28"/>
          <w:szCs w:val="28"/>
        </w:rPr>
        <w:t>-</w:t>
      </w:r>
      <w:r w:rsidR="00040B73">
        <w:rPr>
          <w:rFonts w:ascii="Times New Roman" w:hAnsi="Times New Roman"/>
          <w:sz w:val="28"/>
          <w:szCs w:val="28"/>
        </w:rPr>
        <w:t xml:space="preserve"> </w:t>
      </w:r>
      <w:r w:rsidR="00145C92" w:rsidRPr="00145C92">
        <w:rPr>
          <w:rFonts w:ascii="Times New Roman" w:hAnsi="Times New Roman"/>
          <w:sz w:val="28"/>
          <w:szCs w:val="28"/>
        </w:rPr>
        <w:t>Тромботическая микроангиопатия, тромботическая тромбоцитопеническая пурпура</w:t>
      </w:r>
    </w:p>
    <w:p w14:paraId="17B96FE6" w14:textId="77777777" w:rsidR="005C4B12" w:rsidRDefault="005C4B1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145C92" w:rsidRPr="00145C92">
        <w:rPr>
          <w:rFonts w:ascii="Times New Roman" w:hAnsi="Times New Roman"/>
          <w:sz w:val="28"/>
          <w:szCs w:val="28"/>
        </w:rPr>
        <w:t>Мигрень</w:t>
      </w:r>
    </w:p>
    <w:p w14:paraId="40068214" w14:textId="77777777" w:rsidR="00145C92" w:rsidRPr="0067548B" w:rsidRDefault="00145C9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48B">
        <w:rPr>
          <w:rFonts w:ascii="Times New Roman" w:hAnsi="Times New Roman"/>
          <w:sz w:val="28"/>
          <w:szCs w:val="28"/>
        </w:rPr>
        <w:t>- Нарушение слуха</w:t>
      </w:r>
    </w:p>
    <w:p w14:paraId="54B90398" w14:textId="77777777" w:rsidR="00145C92" w:rsidRPr="00145C92" w:rsidRDefault="00145C9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C9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45C92">
        <w:rPr>
          <w:rFonts w:ascii="Times New Roman" w:hAnsi="Times New Roman"/>
          <w:sz w:val="28"/>
          <w:szCs w:val="28"/>
        </w:rPr>
        <w:t>Гепатотоксичность</w:t>
      </w:r>
      <w:proofErr w:type="spellEnd"/>
      <w:r w:rsidRPr="00145C92">
        <w:rPr>
          <w:rFonts w:ascii="Times New Roman" w:hAnsi="Times New Roman"/>
          <w:sz w:val="28"/>
          <w:szCs w:val="28"/>
        </w:rPr>
        <w:t xml:space="preserve"> и нарушение функции печени, включая холестаз, желтуху, гепатит и печеночную недостаточность с </w:t>
      </w:r>
      <w:r w:rsidR="00236AAE" w:rsidRPr="00236AAE">
        <w:rPr>
          <w:rFonts w:ascii="Times New Roman" w:hAnsi="Times New Roman"/>
          <w:sz w:val="28"/>
          <w:szCs w:val="28"/>
        </w:rPr>
        <w:t xml:space="preserve">некоторыми </w:t>
      </w:r>
      <w:r w:rsidRPr="00145C92">
        <w:rPr>
          <w:rFonts w:ascii="Times New Roman" w:hAnsi="Times New Roman"/>
          <w:sz w:val="28"/>
          <w:szCs w:val="28"/>
        </w:rPr>
        <w:t>летальным</w:t>
      </w:r>
      <w:r w:rsidR="00236AAE">
        <w:rPr>
          <w:rFonts w:ascii="Times New Roman" w:hAnsi="Times New Roman"/>
          <w:sz w:val="28"/>
          <w:szCs w:val="28"/>
        </w:rPr>
        <w:t>и</w:t>
      </w:r>
      <w:r w:rsidRPr="00145C92">
        <w:rPr>
          <w:rFonts w:ascii="Times New Roman" w:hAnsi="Times New Roman"/>
          <w:sz w:val="28"/>
          <w:szCs w:val="28"/>
        </w:rPr>
        <w:t xml:space="preserve"> исход</w:t>
      </w:r>
      <w:r w:rsidR="00236AAE">
        <w:rPr>
          <w:rFonts w:ascii="Times New Roman" w:hAnsi="Times New Roman"/>
          <w:sz w:val="28"/>
          <w:szCs w:val="28"/>
        </w:rPr>
        <w:t>ами</w:t>
      </w:r>
    </w:p>
    <w:p w14:paraId="58CBBF40" w14:textId="77777777" w:rsidR="00145C92" w:rsidRPr="0067548B" w:rsidRDefault="00145C92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48B">
        <w:rPr>
          <w:rFonts w:ascii="Times New Roman" w:hAnsi="Times New Roman"/>
          <w:sz w:val="28"/>
          <w:szCs w:val="28"/>
        </w:rPr>
        <w:t>- Боль в нижних конечностях</w:t>
      </w:r>
    </w:p>
    <w:p w14:paraId="1B74DCB5" w14:textId="77777777" w:rsidR="0041162E" w:rsidRPr="0067548B" w:rsidRDefault="0041162E" w:rsidP="00145C9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3D927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EEE9F5B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03645F5F" w14:textId="77777777" w:rsidR="006703A5" w:rsidRPr="006C577B" w:rsidRDefault="00DD597E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3CAB75E9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D7408A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Дополнительные сведения</w:t>
      </w:r>
    </w:p>
    <w:p w14:paraId="14D3C042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7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A835A74" w14:textId="77777777" w:rsidR="006B7A90" w:rsidRPr="00844CE8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8" w:name="2175220286"/>
      <w:bookmarkEnd w:id="7"/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>Одна капсула содержит</w:t>
      </w:r>
      <w:r w:rsidR="00D2307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844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3C31C9A4" w14:textId="77777777" w:rsidR="006B7A90" w:rsidRPr="00844CE8" w:rsidRDefault="00844CE8" w:rsidP="00D230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</w:t>
      </w:r>
      <w:r w:rsidR="00D2307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–</w:t>
      </w:r>
      <w:r w:rsidRPr="00844C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D2307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ц</w:t>
      </w:r>
      <w:r w:rsidR="00D23079" w:rsidRPr="00D2307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иклоспорин</w:t>
      </w:r>
      <w:r w:rsidR="00D2307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25</w:t>
      </w:r>
      <w:r w:rsidR="0073515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.00</w:t>
      </w:r>
      <w:r w:rsidR="00D2307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мг, 50</w:t>
      </w:r>
      <w:r w:rsidR="0073515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.00</w:t>
      </w:r>
      <w:r w:rsidR="00D2307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мг и 100</w:t>
      </w:r>
      <w:r w:rsidR="0073515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.00</w:t>
      </w:r>
      <w:r w:rsidR="00D2307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мг</w:t>
      </w:r>
      <w:r w:rsidR="00C212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соответственно</w:t>
      </w:r>
      <w:r w:rsidR="00D2307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14:paraId="5D116694" w14:textId="77777777" w:rsidR="00BE24BE" w:rsidRDefault="006B7A90" w:rsidP="0061080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44CE8">
        <w:rPr>
          <w:rFonts w:ascii="Times New Roman" w:hAnsi="Times New Roman"/>
          <w:i/>
          <w:iCs/>
          <w:sz w:val="28"/>
          <w:szCs w:val="28"/>
        </w:rPr>
        <w:t>вспомогательные вещества:</w:t>
      </w:r>
      <w:r w:rsidR="00BE24B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F9918F9" w14:textId="77777777" w:rsidR="00BE24BE" w:rsidRPr="00BE24BE" w:rsidRDefault="00BE24BE" w:rsidP="00610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состав растворителя: </w:t>
      </w:r>
      <w:r w:rsidRPr="00BE24BE">
        <w:rPr>
          <w:rFonts w:ascii="Times New Roman" w:hAnsi="Times New Roman"/>
          <w:sz w:val="28"/>
          <w:szCs w:val="28"/>
        </w:rPr>
        <w:t xml:space="preserve">пропиленгликоль, </w:t>
      </w:r>
      <w:proofErr w:type="spellStart"/>
      <w:r w:rsidRPr="00BE24BE">
        <w:rPr>
          <w:rFonts w:ascii="Times New Roman" w:hAnsi="Times New Roman"/>
          <w:sz w:val="28"/>
          <w:szCs w:val="28"/>
        </w:rPr>
        <w:t>полиоксил</w:t>
      </w:r>
      <w:proofErr w:type="spellEnd"/>
      <w:r w:rsidRPr="00BE24BE">
        <w:rPr>
          <w:rFonts w:ascii="Times New Roman" w:hAnsi="Times New Roman"/>
          <w:sz w:val="28"/>
          <w:szCs w:val="28"/>
        </w:rPr>
        <w:t xml:space="preserve"> 40 гидрогенизированное касторовое масло, пропиленгликоль </w:t>
      </w:r>
      <w:proofErr w:type="spellStart"/>
      <w:r w:rsidRPr="00BE24BE">
        <w:rPr>
          <w:rFonts w:ascii="Times New Roman" w:hAnsi="Times New Roman"/>
          <w:sz w:val="28"/>
          <w:szCs w:val="28"/>
        </w:rPr>
        <w:t>монолаурат</w:t>
      </w:r>
      <w:proofErr w:type="spellEnd"/>
      <w:r w:rsidRPr="00BE24BE">
        <w:rPr>
          <w:rFonts w:ascii="Times New Roman" w:hAnsi="Times New Roman"/>
          <w:sz w:val="28"/>
          <w:szCs w:val="28"/>
        </w:rPr>
        <w:t xml:space="preserve"> II</w:t>
      </w:r>
      <w:r>
        <w:rPr>
          <w:rFonts w:ascii="Times New Roman" w:hAnsi="Times New Roman"/>
          <w:sz w:val="28"/>
          <w:szCs w:val="28"/>
        </w:rPr>
        <w:t>,</w:t>
      </w:r>
    </w:p>
    <w:p w14:paraId="2F60072A" w14:textId="77777777" w:rsidR="00D23079" w:rsidRDefault="00BE24BE" w:rsidP="00610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2CA">
        <w:rPr>
          <w:rFonts w:ascii="Times New Roman" w:hAnsi="Times New Roman"/>
          <w:i/>
          <w:iCs/>
          <w:sz w:val="28"/>
          <w:szCs w:val="28"/>
        </w:rPr>
        <w:t>состав желатиновой капсулы:</w:t>
      </w:r>
      <w:r>
        <w:rPr>
          <w:rFonts w:ascii="Times New Roman" w:hAnsi="Times New Roman"/>
          <w:sz w:val="28"/>
          <w:szCs w:val="28"/>
        </w:rPr>
        <w:t xml:space="preserve"> </w:t>
      </w:r>
      <w:r w:rsidR="00610808" w:rsidRPr="00610808">
        <w:rPr>
          <w:rFonts w:ascii="Times New Roman" w:hAnsi="Times New Roman"/>
          <w:sz w:val="28"/>
          <w:szCs w:val="28"/>
        </w:rPr>
        <w:t xml:space="preserve">желатин, желатин с низкой молекулярной массой (BYCO A), натрия </w:t>
      </w:r>
      <w:proofErr w:type="spellStart"/>
      <w:r w:rsidR="00610808" w:rsidRPr="00610808">
        <w:rPr>
          <w:rFonts w:ascii="Times New Roman" w:hAnsi="Times New Roman"/>
          <w:sz w:val="28"/>
          <w:szCs w:val="28"/>
        </w:rPr>
        <w:t>мальтитол</w:t>
      </w:r>
      <w:proofErr w:type="spellEnd"/>
      <w:r w:rsidR="00610808" w:rsidRPr="00610808">
        <w:rPr>
          <w:rFonts w:ascii="Times New Roman" w:hAnsi="Times New Roman"/>
          <w:sz w:val="28"/>
          <w:szCs w:val="28"/>
        </w:rPr>
        <w:t>, глицерин, вода о</w:t>
      </w:r>
      <w:r w:rsidR="00610808" w:rsidRPr="00C212CA">
        <w:rPr>
          <w:rFonts w:ascii="Times New Roman" w:hAnsi="Times New Roman"/>
          <w:sz w:val="28"/>
          <w:szCs w:val="28"/>
        </w:rPr>
        <w:t>чищенная</w:t>
      </w:r>
      <w:r w:rsidRPr="00C212CA">
        <w:rPr>
          <w:rFonts w:ascii="Times New Roman" w:hAnsi="Times New Roman"/>
          <w:sz w:val="28"/>
          <w:szCs w:val="28"/>
        </w:rPr>
        <w:t>, железа оксид красный (E 172), железа оксид черный (E 172) (для дозировки 50 мг),</w:t>
      </w:r>
      <w:r>
        <w:rPr>
          <w:rFonts w:ascii="Times New Roman" w:hAnsi="Times New Roman"/>
          <w:sz w:val="28"/>
          <w:szCs w:val="28"/>
        </w:rPr>
        <w:t xml:space="preserve"> </w:t>
      </w:r>
      <w:r w:rsidR="00610808" w:rsidRPr="00610808">
        <w:rPr>
          <w:rFonts w:ascii="Times New Roman" w:hAnsi="Times New Roman"/>
          <w:sz w:val="28"/>
          <w:szCs w:val="28"/>
        </w:rPr>
        <w:t>соевое масло</w:t>
      </w:r>
      <w:r w:rsidR="006108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0808" w:rsidRPr="00610808">
        <w:rPr>
          <w:rFonts w:ascii="Times New Roman" w:hAnsi="Times New Roman"/>
          <w:sz w:val="28"/>
          <w:szCs w:val="28"/>
        </w:rPr>
        <w:t>опакод</w:t>
      </w:r>
      <w:proofErr w:type="spellEnd"/>
      <w:r w:rsidR="00610808" w:rsidRPr="00610808">
        <w:rPr>
          <w:rFonts w:ascii="Times New Roman" w:hAnsi="Times New Roman"/>
          <w:sz w:val="28"/>
          <w:szCs w:val="28"/>
        </w:rPr>
        <w:t xml:space="preserve"> WB (белый): SDA 35A спирт (этанол)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2CA">
        <w:rPr>
          <w:rFonts w:ascii="Times New Roman" w:hAnsi="Times New Roman"/>
          <w:sz w:val="28"/>
          <w:szCs w:val="28"/>
        </w:rPr>
        <w:t>и</w:t>
      </w:r>
      <w:r w:rsidR="00610808" w:rsidRPr="00C212CA">
        <w:rPr>
          <w:rFonts w:ascii="Times New Roman" w:hAnsi="Times New Roman"/>
          <w:sz w:val="28"/>
          <w:szCs w:val="28"/>
        </w:rPr>
        <w:t xml:space="preserve"> эти</w:t>
      </w:r>
      <w:r w:rsidR="00610808" w:rsidRPr="00610808">
        <w:rPr>
          <w:rFonts w:ascii="Times New Roman" w:hAnsi="Times New Roman"/>
          <w:sz w:val="28"/>
          <w:szCs w:val="28"/>
        </w:rPr>
        <w:t xml:space="preserve">лацетат, </w:t>
      </w:r>
      <w:r w:rsidR="003E7212" w:rsidRPr="003E7212">
        <w:rPr>
          <w:rFonts w:ascii="Times New Roman" w:hAnsi="Times New Roman"/>
          <w:sz w:val="28"/>
          <w:szCs w:val="28"/>
        </w:rPr>
        <w:t>титана диоксид (Е 171)</w:t>
      </w:r>
      <w:r w:rsidR="003E7212">
        <w:rPr>
          <w:rFonts w:ascii="Times New Roman" w:hAnsi="Times New Roman"/>
          <w:sz w:val="28"/>
          <w:szCs w:val="28"/>
        </w:rPr>
        <w:t xml:space="preserve">, </w:t>
      </w:r>
      <w:r w:rsidR="00610808" w:rsidRPr="00610808">
        <w:rPr>
          <w:rFonts w:ascii="Times New Roman" w:hAnsi="Times New Roman"/>
          <w:sz w:val="28"/>
          <w:szCs w:val="28"/>
        </w:rPr>
        <w:t xml:space="preserve">пропиленгликоль (Е 1520), поливинилацетата </w:t>
      </w:r>
      <w:proofErr w:type="spellStart"/>
      <w:r w:rsidR="00610808" w:rsidRPr="00610808">
        <w:rPr>
          <w:rFonts w:ascii="Times New Roman" w:hAnsi="Times New Roman"/>
          <w:sz w:val="28"/>
          <w:szCs w:val="28"/>
        </w:rPr>
        <w:t>фталат</w:t>
      </w:r>
      <w:proofErr w:type="spellEnd"/>
      <w:r w:rsidR="00610808" w:rsidRPr="00610808">
        <w:rPr>
          <w:rFonts w:ascii="Times New Roman" w:hAnsi="Times New Roman"/>
          <w:sz w:val="28"/>
          <w:szCs w:val="28"/>
        </w:rPr>
        <w:t xml:space="preserve">, вода очищенная, изопропиловый спирт, </w:t>
      </w:r>
      <w:proofErr w:type="spellStart"/>
      <w:r w:rsidR="00610808" w:rsidRPr="00610808">
        <w:rPr>
          <w:rFonts w:ascii="Times New Roman" w:hAnsi="Times New Roman"/>
          <w:sz w:val="28"/>
          <w:szCs w:val="28"/>
        </w:rPr>
        <w:t>макрогол</w:t>
      </w:r>
      <w:proofErr w:type="spellEnd"/>
      <w:r w:rsidR="00610808" w:rsidRPr="00610808">
        <w:rPr>
          <w:rFonts w:ascii="Times New Roman" w:hAnsi="Times New Roman"/>
          <w:sz w:val="28"/>
          <w:szCs w:val="28"/>
        </w:rPr>
        <w:t>/ПЭГ (Е 1521), раствор аммония гидроксида (Е 527), стеариновая кислота</w:t>
      </w:r>
      <w:r w:rsidR="00610808">
        <w:rPr>
          <w:rFonts w:ascii="Times New Roman" w:hAnsi="Times New Roman"/>
          <w:sz w:val="28"/>
          <w:szCs w:val="28"/>
        </w:rPr>
        <w:t>.</w:t>
      </w:r>
    </w:p>
    <w:p w14:paraId="11FF8FBB" w14:textId="77777777" w:rsidR="00C91310" w:rsidRDefault="00C9131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439B8A0" w14:textId="77777777"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8"/>
    <w:p w14:paraId="056C94BD" w14:textId="77777777" w:rsidR="00F27A4D" w:rsidRPr="00F27A4D" w:rsidRDefault="00F27A4D" w:rsidP="00F27A4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A4D">
        <w:rPr>
          <w:rFonts w:ascii="Times New Roman" w:eastAsia="Times New Roman" w:hAnsi="Times New Roman"/>
          <w:sz w:val="28"/>
          <w:szCs w:val="28"/>
          <w:lang w:eastAsia="ru-RU"/>
        </w:rPr>
        <w:t>Мягкие желатиновые капсулы овальной формы красновато-коричневого цвета с надписью белыми чернилами «РВ 25». Содержимое капсул – прозрачная жидкость (для дозировки 25 мг).</w:t>
      </w:r>
    </w:p>
    <w:p w14:paraId="3192DC7F" w14:textId="77777777" w:rsidR="00F27A4D" w:rsidRPr="00F27A4D" w:rsidRDefault="00F27A4D" w:rsidP="00F27A4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A4D">
        <w:rPr>
          <w:rFonts w:ascii="Times New Roman" w:eastAsia="Times New Roman" w:hAnsi="Times New Roman"/>
          <w:sz w:val="28"/>
          <w:szCs w:val="28"/>
          <w:lang w:eastAsia="ru-RU"/>
        </w:rPr>
        <w:t>Мягкие желатиновые капсулы овальной формы кофейно-коричневого цвета с надписью белыми чернилами «РВ 50». Содержимое капсул – прозрачная жидкость (для дозировки 50 мг).</w:t>
      </w:r>
    </w:p>
    <w:p w14:paraId="6A21B2B3" w14:textId="77777777" w:rsidR="006B7A90" w:rsidRPr="00F27A4D" w:rsidRDefault="00F27A4D" w:rsidP="00F27A4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A4D">
        <w:rPr>
          <w:rFonts w:ascii="Times New Roman" w:eastAsia="Times New Roman" w:hAnsi="Times New Roman"/>
          <w:sz w:val="28"/>
          <w:szCs w:val="28"/>
          <w:lang w:eastAsia="ru-RU"/>
        </w:rPr>
        <w:t>Мягкие желатиновые капсулы овальной формы красновато-коричневого цвета с надписью белыми чернилами «РВ 100». Содержимое капсул – прозрачная жидкость (для дозировки 100 мг).</w:t>
      </w:r>
    </w:p>
    <w:p w14:paraId="29D17092" w14:textId="77777777" w:rsidR="00F27A4D" w:rsidRPr="00844CE8" w:rsidRDefault="00F27A4D" w:rsidP="00F27A4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D847F6" w14:textId="77777777" w:rsidR="00C9308C" w:rsidRDefault="00F27A4D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1E4D87AE" w14:textId="77777777" w:rsidR="000346AB" w:rsidRPr="000346AB" w:rsidRDefault="000346AB" w:rsidP="000346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6AB">
        <w:rPr>
          <w:rFonts w:ascii="Times New Roman" w:eastAsia="Times New Roman" w:hAnsi="Times New Roman"/>
          <w:sz w:val="28"/>
          <w:szCs w:val="28"/>
          <w:lang w:eastAsia="ru-RU"/>
        </w:rPr>
        <w:t>По 6 капсул в алюминиевый блистер холодного ламинирования.</w:t>
      </w:r>
    </w:p>
    <w:p w14:paraId="1F5AD37D" w14:textId="77777777" w:rsidR="00F27A4D" w:rsidRDefault="000346AB" w:rsidP="000346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6AB">
        <w:rPr>
          <w:rFonts w:ascii="Times New Roman" w:eastAsia="Times New Roman" w:hAnsi="Times New Roman"/>
          <w:sz w:val="28"/>
          <w:szCs w:val="28"/>
          <w:lang w:eastAsia="ru-RU"/>
        </w:rPr>
        <w:t>По 5 блистеров вместе с инструкцией по медицинскому применению на казахском и русском языках помещают в пачку из картона.</w:t>
      </w:r>
    </w:p>
    <w:p w14:paraId="7A701B81" w14:textId="77777777" w:rsidR="000346AB" w:rsidRDefault="000346AB" w:rsidP="000346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DC0D70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9FC58FB" w14:textId="77777777" w:rsidR="00DC33F0" w:rsidRDefault="00872B65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2175220288"/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27A4D" w:rsidRPr="00F27A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70EE601C" w14:textId="77777777" w:rsidR="00F27A4D" w:rsidRPr="00F27A4D" w:rsidRDefault="00F27A4D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A0497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10"/>
    <w:p w14:paraId="43BED66B" w14:textId="77777777" w:rsidR="00F27A4D" w:rsidRPr="00F27A4D" w:rsidRDefault="00F27A4D" w:rsidP="00F27A4D">
      <w:pPr>
        <w:pStyle w:val="ac"/>
        <w:rPr>
          <w:rFonts w:ascii="Times New Roman" w:hAnsi="Times New Roman"/>
          <w:sz w:val="28"/>
          <w:szCs w:val="28"/>
        </w:rPr>
      </w:pPr>
      <w:r w:rsidRPr="00F27A4D">
        <w:rPr>
          <w:rFonts w:ascii="Times New Roman" w:hAnsi="Times New Roman"/>
          <w:sz w:val="28"/>
          <w:szCs w:val="28"/>
        </w:rPr>
        <w:t xml:space="preserve">Хранить при температуре не выше </w:t>
      </w:r>
      <w:r w:rsidR="004A5701">
        <w:rPr>
          <w:rFonts w:ascii="Times New Roman" w:hAnsi="Times New Roman"/>
          <w:sz w:val="28"/>
          <w:szCs w:val="28"/>
        </w:rPr>
        <w:t>30</w:t>
      </w:r>
      <w:r w:rsidRPr="00F27A4D">
        <w:rPr>
          <w:rFonts w:ascii="Times New Roman" w:hAnsi="Times New Roman"/>
          <w:sz w:val="28"/>
          <w:szCs w:val="28"/>
        </w:rPr>
        <w:t xml:space="preserve"> ºС. </w:t>
      </w:r>
    </w:p>
    <w:p w14:paraId="0B349E3E" w14:textId="77777777" w:rsidR="00F27A4D" w:rsidRPr="00F27A4D" w:rsidRDefault="00F27A4D" w:rsidP="00F27A4D">
      <w:pPr>
        <w:pStyle w:val="ac"/>
        <w:rPr>
          <w:rFonts w:ascii="Times New Roman" w:hAnsi="Times New Roman"/>
          <w:sz w:val="28"/>
          <w:szCs w:val="28"/>
        </w:rPr>
      </w:pPr>
      <w:r w:rsidRPr="00F27A4D">
        <w:rPr>
          <w:rFonts w:ascii="Times New Roman" w:hAnsi="Times New Roman"/>
          <w:sz w:val="28"/>
          <w:szCs w:val="28"/>
        </w:rPr>
        <w:t>Хранить в недоступном для детей месте!</w:t>
      </w:r>
    </w:p>
    <w:p w14:paraId="7CA75C0E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837362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3CEE3877" w14:textId="77777777" w:rsidR="00F27A4D" w:rsidRPr="00F27A4D" w:rsidRDefault="00F27A4D" w:rsidP="00F27A4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7A4D">
        <w:rPr>
          <w:rFonts w:ascii="Times New Roman" w:hAnsi="Times New Roman"/>
          <w:bCs/>
          <w:color w:val="000000"/>
          <w:sz w:val="28"/>
          <w:szCs w:val="28"/>
        </w:rPr>
        <w:t>По рецепту</w:t>
      </w:r>
    </w:p>
    <w:p w14:paraId="19F8FA1C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9FC595" w14:textId="77777777"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2F6BD4EC" w14:textId="77777777" w:rsidR="00F27A4D" w:rsidRPr="0067548B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lastRenderedPageBreak/>
        <w:t>Panacea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Biotec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Pharma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Ltd</w:t>
      </w:r>
      <w:r w:rsidRPr="0067548B">
        <w:rPr>
          <w:rFonts w:ascii="Times New Roman" w:hAnsi="Times New Roman"/>
          <w:color w:val="000000"/>
          <w:sz w:val="28"/>
          <w:szCs w:val="24"/>
        </w:rPr>
        <w:t>.,</w:t>
      </w:r>
    </w:p>
    <w:p w14:paraId="56D43BDF" w14:textId="77777777" w:rsidR="00F27A4D" w:rsidRPr="0067548B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Malpur</w:t>
      </w:r>
      <w:proofErr w:type="spellEnd"/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Baddi</w:t>
      </w:r>
      <w:proofErr w:type="spellEnd"/>
      <w:r w:rsidRPr="0067548B">
        <w:rPr>
          <w:rFonts w:ascii="Times New Roman" w:hAnsi="Times New Roman"/>
          <w:color w:val="000000"/>
          <w:sz w:val="28"/>
          <w:szCs w:val="24"/>
        </w:rPr>
        <w:t>/</w:t>
      </w:r>
      <w:proofErr w:type="spellStart"/>
      <w:r w:rsidRPr="00F27A4D">
        <w:rPr>
          <w:rFonts w:ascii="Times New Roman" w:hAnsi="Times New Roman"/>
          <w:color w:val="000000"/>
          <w:sz w:val="28"/>
          <w:szCs w:val="24"/>
        </w:rPr>
        <w:t>Малпур</w:t>
      </w:r>
      <w:proofErr w:type="spellEnd"/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</w:rPr>
        <w:t>Бадди</w:t>
      </w:r>
      <w:r w:rsidRPr="0067548B">
        <w:rPr>
          <w:rFonts w:ascii="Times New Roman" w:hAnsi="Times New Roman"/>
          <w:color w:val="000000"/>
          <w:sz w:val="28"/>
          <w:szCs w:val="24"/>
        </w:rPr>
        <w:t>,</w:t>
      </w:r>
    </w:p>
    <w:p w14:paraId="2709C78F" w14:textId="77777777" w:rsidR="00F27A4D" w:rsidRPr="0067548B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Distt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Solan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H</w:t>
      </w:r>
      <w:r w:rsidRPr="0067548B">
        <w:rPr>
          <w:rFonts w:ascii="Times New Roman" w:hAnsi="Times New Roman"/>
          <w:color w:val="000000"/>
          <w:sz w:val="28"/>
          <w:szCs w:val="24"/>
        </w:rPr>
        <w:t>.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P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173205, </w:t>
      </w:r>
      <w:r w:rsidRPr="00F27A4D">
        <w:rPr>
          <w:rFonts w:ascii="Times New Roman" w:hAnsi="Times New Roman"/>
          <w:color w:val="000000"/>
          <w:sz w:val="28"/>
          <w:szCs w:val="24"/>
        </w:rPr>
        <w:t>Индия</w:t>
      </w:r>
    </w:p>
    <w:p w14:paraId="3D3981DB" w14:textId="77777777" w:rsidR="00F27A4D" w:rsidRPr="0067548B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27A4D">
        <w:rPr>
          <w:rFonts w:ascii="Times New Roman" w:hAnsi="Times New Roman"/>
          <w:color w:val="000000"/>
          <w:sz w:val="28"/>
          <w:szCs w:val="24"/>
        </w:rPr>
        <w:t>тел</w:t>
      </w:r>
      <w:r w:rsidRPr="0067548B">
        <w:rPr>
          <w:rFonts w:ascii="Times New Roman" w:hAnsi="Times New Roman"/>
          <w:color w:val="000000"/>
          <w:sz w:val="28"/>
          <w:szCs w:val="24"/>
        </w:rPr>
        <w:t>: +91-11-41678000</w:t>
      </w:r>
    </w:p>
    <w:p w14:paraId="62377E48" w14:textId="77777777" w:rsidR="00F27A4D" w:rsidRPr="00F27A4D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27A4D">
        <w:rPr>
          <w:rFonts w:ascii="Times New Roman" w:hAnsi="Times New Roman"/>
          <w:color w:val="000000"/>
          <w:sz w:val="28"/>
          <w:szCs w:val="24"/>
        </w:rPr>
        <w:t>факс: +91-11-41679063</w:t>
      </w:r>
    </w:p>
    <w:p w14:paraId="05F47430" w14:textId="77777777" w:rsidR="00F27A4D" w:rsidRPr="00F27A4D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27A4D">
        <w:rPr>
          <w:rFonts w:ascii="Times New Roman" w:hAnsi="Times New Roman"/>
          <w:color w:val="000000"/>
          <w:sz w:val="28"/>
          <w:szCs w:val="24"/>
        </w:rPr>
        <w:t xml:space="preserve">адрес электронной почты: </w:t>
      </w:r>
      <w:hyperlink r:id="rId9" w:history="1">
        <w:r w:rsidRPr="00F27A4D">
          <w:rPr>
            <w:rStyle w:val="af"/>
            <w:rFonts w:ascii="Times New Roman" w:hAnsi="Times New Roman"/>
            <w:sz w:val="28"/>
            <w:szCs w:val="24"/>
          </w:rPr>
          <w:t>pharma@panaceabiotec.com</w:t>
        </w:r>
      </w:hyperlink>
    </w:p>
    <w:p w14:paraId="0E1A1BB9" w14:textId="77777777" w:rsidR="00DC33F0" w:rsidRPr="00F27A4D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A64A39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787A2127" w14:textId="77777777" w:rsidR="00F27A4D" w:rsidRPr="0067548B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Panacea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Biotec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Pharma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Ltd</w:t>
      </w:r>
      <w:r w:rsidRPr="0067548B">
        <w:rPr>
          <w:rFonts w:ascii="Times New Roman" w:hAnsi="Times New Roman"/>
          <w:color w:val="000000"/>
          <w:sz w:val="28"/>
          <w:szCs w:val="24"/>
        </w:rPr>
        <w:t>.,</w:t>
      </w:r>
    </w:p>
    <w:p w14:paraId="0056DB12" w14:textId="77777777" w:rsidR="00F27A4D" w:rsidRPr="0067548B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Malpur</w:t>
      </w:r>
      <w:proofErr w:type="spellEnd"/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Baddi</w:t>
      </w:r>
      <w:proofErr w:type="spellEnd"/>
      <w:r w:rsidRPr="0067548B">
        <w:rPr>
          <w:rFonts w:ascii="Times New Roman" w:hAnsi="Times New Roman"/>
          <w:color w:val="000000"/>
          <w:sz w:val="28"/>
          <w:szCs w:val="24"/>
        </w:rPr>
        <w:t>/</w:t>
      </w:r>
      <w:proofErr w:type="spellStart"/>
      <w:r w:rsidRPr="00F27A4D">
        <w:rPr>
          <w:rFonts w:ascii="Times New Roman" w:hAnsi="Times New Roman"/>
          <w:color w:val="000000"/>
          <w:sz w:val="28"/>
          <w:szCs w:val="24"/>
        </w:rPr>
        <w:t>Малпур</w:t>
      </w:r>
      <w:proofErr w:type="spellEnd"/>
      <w:r w:rsidRPr="0067548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7A4D">
        <w:rPr>
          <w:rFonts w:ascii="Times New Roman" w:hAnsi="Times New Roman"/>
          <w:color w:val="000000"/>
          <w:sz w:val="28"/>
          <w:szCs w:val="24"/>
        </w:rPr>
        <w:t>Бадди</w:t>
      </w:r>
      <w:r w:rsidRPr="0067548B">
        <w:rPr>
          <w:rFonts w:ascii="Times New Roman" w:hAnsi="Times New Roman"/>
          <w:color w:val="000000"/>
          <w:sz w:val="28"/>
          <w:szCs w:val="24"/>
        </w:rPr>
        <w:t>,</w:t>
      </w:r>
    </w:p>
    <w:p w14:paraId="1F1EE56F" w14:textId="77777777" w:rsidR="00F27A4D" w:rsidRPr="0067548B" w:rsidRDefault="00F27A4D" w:rsidP="00F27A4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Distt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Solan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H</w:t>
      </w:r>
      <w:r w:rsidRPr="0067548B">
        <w:rPr>
          <w:rFonts w:ascii="Times New Roman" w:hAnsi="Times New Roman"/>
          <w:color w:val="000000"/>
          <w:sz w:val="28"/>
          <w:szCs w:val="24"/>
        </w:rPr>
        <w:t>.</w:t>
      </w:r>
      <w:r w:rsidRPr="00F27A4D">
        <w:rPr>
          <w:rFonts w:ascii="Times New Roman" w:hAnsi="Times New Roman"/>
          <w:color w:val="000000"/>
          <w:sz w:val="28"/>
          <w:szCs w:val="24"/>
          <w:lang w:val="en-US"/>
        </w:rPr>
        <w:t>P</w:t>
      </w:r>
      <w:r w:rsidRPr="0067548B">
        <w:rPr>
          <w:rFonts w:ascii="Times New Roman" w:hAnsi="Times New Roman"/>
          <w:color w:val="000000"/>
          <w:sz w:val="28"/>
          <w:szCs w:val="24"/>
        </w:rPr>
        <w:t xml:space="preserve"> 173205, </w:t>
      </w:r>
      <w:r w:rsidRPr="00F27A4D">
        <w:rPr>
          <w:rFonts w:ascii="Times New Roman" w:hAnsi="Times New Roman"/>
          <w:color w:val="000000"/>
          <w:sz w:val="28"/>
          <w:szCs w:val="24"/>
        </w:rPr>
        <w:t>Индия</w:t>
      </w:r>
      <w:r w:rsidR="000346AB">
        <w:rPr>
          <w:rFonts w:ascii="Times New Roman" w:hAnsi="Times New Roman"/>
          <w:color w:val="000000"/>
          <w:sz w:val="28"/>
          <w:szCs w:val="24"/>
        </w:rPr>
        <w:t>.</w:t>
      </w:r>
    </w:p>
    <w:p w14:paraId="7F548706" w14:textId="77777777" w:rsidR="00C91310" w:rsidRPr="00F27A4D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8CCE624" w14:textId="77777777" w:rsidR="00F27A4D" w:rsidRPr="00F27A4D" w:rsidRDefault="00F27A4D" w:rsidP="00F27A4D">
      <w:pPr>
        <w:pStyle w:val="ConsPlusNormal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F27A4D">
        <w:rPr>
          <w:rFonts w:eastAsia="Calibri"/>
          <w:b/>
          <w:iCs/>
          <w:sz w:val="28"/>
          <w:szCs w:val="28"/>
          <w:lang w:eastAsia="en-US"/>
        </w:rPr>
        <w:t>Наименование, адрес и контактные данные (телефон, факс,</w:t>
      </w:r>
      <w:r w:rsidRPr="00F27A4D">
        <w:rPr>
          <w:rFonts w:eastAsia="Calibri"/>
          <w:b/>
          <w:iCs/>
          <w:sz w:val="28"/>
          <w:szCs w:val="28"/>
          <w:lang w:eastAsia="en-US"/>
        </w:rPr>
        <w:br/>
        <w:t>электронная почта) организации на территории Республики</w:t>
      </w:r>
      <w:r w:rsidRPr="00F27A4D">
        <w:rPr>
          <w:rFonts w:eastAsia="Calibri"/>
          <w:b/>
          <w:iCs/>
          <w:sz w:val="28"/>
          <w:szCs w:val="28"/>
          <w:lang w:eastAsia="en-US"/>
        </w:rPr>
        <w:br/>
        <w:t>Казахстан, принимающей претензии (предложения) по качеству</w:t>
      </w:r>
      <w:r w:rsidRPr="00F27A4D">
        <w:rPr>
          <w:rFonts w:eastAsia="Calibri"/>
          <w:b/>
          <w:iCs/>
          <w:sz w:val="28"/>
          <w:szCs w:val="28"/>
          <w:lang w:eastAsia="en-US"/>
        </w:rPr>
        <w:br/>
        <w:t>лекарственных средств от потребителей</w:t>
      </w:r>
      <w:r w:rsidRPr="00F27A4D">
        <w:rPr>
          <w:rFonts w:eastAsia="Calibri"/>
          <w:b/>
          <w:iCs/>
          <w:sz w:val="28"/>
          <w:szCs w:val="28"/>
          <w:lang w:eastAsia="en-US"/>
        </w:rPr>
        <w:br/>
      </w:r>
      <w:r w:rsidRPr="00F27A4D">
        <w:rPr>
          <w:rFonts w:eastAsia="Calibri"/>
          <w:bCs/>
          <w:iCs/>
          <w:sz w:val="28"/>
          <w:szCs w:val="28"/>
          <w:lang w:eastAsia="en-US"/>
        </w:rPr>
        <w:t xml:space="preserve">ТОО «Rogers Pharma», Казахстан, 050043, г. Алматы, мкн. </w:t>
      </w:r>
      <w:proofErr w:type="spellStart"/>
      <w:r w:rsidRPr="00F27A4D">
        <w:rPr>
          <w:rFonts w:eastAsia="Calibri"/>
          <w:bCs/>
          <w:iCs/>
          <w:sz w:val="28"/>
          <w:szCs w:val="28"/>
          <w:lang w:eastAsia="en-US"/>
        </w:rPr>
        <w:t>Мирас</w:t>
      </w:r>
      <w:proofErr w:type="spellEnd"/>
      <w:r w:rsidRPr="00F27A4D">
        <w:rPr>
          <w:rFonts w:eastAsia="Calibri"/>
          <w:bCs/>
          <w:iCs/>
          <w:sz w:val="28"/>
          <w:szCs w:val="28"/>
          <w:lang w:eastAsia="en-US"/>
        </w:rPr>
        <w:t>, д. 157,</w:t>
      </w:r>
      <w:r w:rsidRPr="00F27A4D">
        <w:rPr>
          <w:rFonts w:eastAsia="Calibri"/>
          <w:bCs/>
          <w:iCs/>
          <w:sz w:val="28"/>
          <w:szCs w:val="28"/>
          <w:lang w:eastAsia="en-US"/>
        </w:rPr>
        <w:br/>
        <w:t xml:space="preserve">блок 2, </w:t>
      </w:r>
      <w:proofErr w:type="spellStart"/>
      <w:r w:rsidRPr="00F27A4D">
        <w:rPr>
          <w:rFonts w:eastAsia="Calibri"/>
          <w:bCs/>
          <w:iCs/>
          <w:sz w:val="28"/>
          <w:szCs w:val="28"/>
          <w:lang w:eastAsia="en-US"/>
        </w:rPr>
        <w:t>н.п</w:t>
      </w:r>
      <w:proofErr w:type="spellEnd"/>
      <w:r w:rsidRPr="00F27A4D">
        <w:rPr>
          <w:rFonts w:eastAsia="Calibri"/>
          <w:bCs/>
          <w:iCs/>
          <w:sz w:val="28"/>
          <w:szCs w:val="28"/>
          <w:lang w:eastAsia="en-US"/>
        </w:rPr>
        <w:t>. 819.</w:t>
      </w:r>
    </w:p>
    <w:p w14:paraId="17A5E1C0" w14:textId="77777777" w:rsidR="00FA319F" w:rsidRPr="005D7A94" w:rsidRDefault="00F27A4D" w:rsidP="00F27A4D">
      <w:pPr>
        <w:pStyle w:val="ConsPlusNormal"/>
        <w:rPr>
          <w:rFonts w:eastAsia="Calibri"/>
          <w:bCs/>
          <w:iCs/>
          <w:sz w:val="28"/>
          <w:szCs w:val="28"/>
          <w:lang w:eastAsia="en-US"/>
        </w:rPr>
      </w:pPr>
      <w:r w:rsidRPr="00F27A4D">
        <w:rPr>
          <w:rFonts w:eastAsia="Calibri"/>
          <w:bCs/>
          <w:iCs/>
          <w:sz w:val="28"/>
          <w:szCs w:val="28"/>
          <w:lang w:eastAsia="en-US"/>
        </w:rPr>
        <w:t>Тел</w:t>
      </w:r>
      <w:r w:rsidRPr="005D7A94">
        <w:rPr>
          <w:rFonts w:eastAsia="Calibri"/>
          <w:bCs/>
          <w:iCs/>
          <w:sz w:val="28"/>
          <w:szCs w:val="28"/>
          <w:lang w:eastAsia="en-US"/>
        </w:rPr>
        <w:t xml:space="preserve">. +7 (727) 311-81-96/97, </w:t>
      </w:r>
      <w:r w:rsidRPr="00F27A4D">
        <w:rPr>
          <w:rFonts w:eastAsia="Calibri"/>
          <w:bCs/>
          <w:iCs/>
          <w:sz w:val="28"/>
          <w:szCs w:val="28"/>
          <w:lang w:val="en-US" w:eastAsia="en-US"/>
        </w:rPr>
        <w:t>e</w:t>
      </w:r>
      <w:r w:rsidRPr="005D7A94">
        <w:rPr>
          <w:rFonts w:eastAsia="Calibri"/>
          <w:bCs/>
          <w:iCs/>
          <w:sz w:val="28"/>
          <w:szCs w:val="28"/>
          <w:lang w:eastAsia="en-US"/>
        </w:rPr>
        <w:t>-</w:t>
      </w:r>
      <w:r w:rsidRPr="00F27A4D">
        <w:rPr>
          <w:rFonts w:eastAsia="Calibri"/>
          <w:bCs/>
          <w:iCs/>
          <w:sz w:val="28"/>
          <w:szCs w:val="28"/>
          <w:lang w:val="en-US" w:eastAsia="en-US"/>
        </w:rPr>
        <w:t>mail</w:t>
      </w:r>
      <w:r w:rsidRPr="005D7A94">
        <w:rPr>
          <w:rFonts w:eastAsia="Calibri"/>
          <w:bCs/>
          <w:iCs/>
          <w:sz w:val="28"/>
          <w:szCs w:val="28"/>
          <w:lang w:eastAsia="en-US"/>
        </w:rPr>
        <w:t xml:space="preserve">: </w:t>
      </w:r>
      <w:hyperlink r:id="rId10" w:history="1"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office</w:t>
        </w:r>
        <w:r w:rsidR="00FA319F" w:rsidRPr="005D7A94">
          <w:rPr>
            <w:rStyle w:val="af"/>
            <w:rFonts w:eastAsia="Calibri"/>
            <w:bCs/>
            <w:iCs/>
            <w:sz w:val="28"/>
            <w:szCs w:val="28"/>
            <w:lang w:eastAsia="en-US"/>
          </w:rPr>
          <w:t>.</w:t>
        </w:r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secretary</w:t>
        </w:r>
        <w:r w:rsidR="00FA319F" w:rsidRPr="005D7A94">
          <w:rPr>
            <w:rStyle w:val="af"/>
            <w:rFonts w:eastAsia="Calibri"/>
            <w:bCs/>
            <w:iCs/>
            <w:sz w:val="28"/>
            <w:szCs w:val="28"/>
            <w:lang w:eastAsia="en-US"/>
          </w:rPr>
          <w:t>@</w:t>
        </w:r>
        <w:proofErr w:type="spellStart"/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rogersgroup</w:t>
        </w:r>
        <w:proofErr w:type="spellEnd"/>
        <w:r w:rsidR="00FA319F" w:rsidRPr="005D7A94">
          <w:rPr>
            <w:rStyle w:val="af"/>
            <w:rFonts w:eastAsia="Calibri"/>
            <w:bCs/>
            <w:iCs/>
            <w:sz w:val="28"/>
            <w:szCs w:val="28"/>
            <w:lang w:eastAsia="en-US"/>
          </w:rPr>
          <w:t>.</w:t>
        </w:r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in</w:t>
        </w:r>
      </w:hyperlink>
    </w:p>
    <w:p w14:paraId="51D24117" w14:textId="77777777" w:rsidR="00F27A4D" w:rsidRPr="005D7A94" w:rsidRDefault="00F27A4D" w:rsidP="00FA319F">
      <w:pPr>
        <w:pStyle w:val="ConsPlusNormal"/>
        <w:rPr>
          <w:rFonts w:eastAsia="Calibri"/>
          <w:bCs/>
          <w:iCs/>
          <w:sz w:val="28"/>
          <w:szCs w:val="28"/>
          <w:lang w:eastAsia="en-US"/>
        </w:rPr>
      </w:pPr>
      <w:r w:rsidRPr="005D7A94">
        <w:rPr>
          <w:rFonts w:eastAsia="Calibri"/>
          <w:b/>
          <w:iCs/>
          <w:sz w:val="28"/>
          <w:szCs w:val="28"/>
          <w:lang w:eastAsia="en-US"/>
        </w:rPr>
        <w:br/>
      </w:r>
      <w:r w:rsidRPr="00F27A4D">
        <w:rPr>
          <w:rFonts w:eastAsia="Calibri"/>
          <w:b/>
          <w:iCs/>
          <w:sz w:val="28"/>
          <w:szCs w:val="28"/>
          <w:lang w:eastAsia="en-US"/>
        </w:rPr>
        <w:t>Наименование, адрес и контактные данные (телефон, факс,</w:t>
      </w:r>
      <w:r w:rsidRPr="00F27A4D">
        <w:rPr>
          <w:rFonts w:eastAsia="Calibri"/>
          <w:b/>
          <w:iCs/>
          <w:sz w:val="28"/>
          <w:szCs w:val="28"/>
          <w:lang w:eastAsia="en-US"/>
        </w:rPr>
        <w:br/>
        <w:t>электронная почта) организации на территории Республики</w:t>
      </w:r>
      <w:r w:rsidRPr="00F27A4D">
        <w:rPr>
          <w:rFonts w:eastAsia="Calibri"/>
          <w:b/>
          <w:iCs/>
          <w:sz w:val="28"/>
          <w:szCs w:val="28"/>
          <w:lang w:eastAsia="en-US"/>
        </w:rPr>
        <w:br/>
        <w:t>Казахстан, ответственной за пострегистрационное наблюдение за</w:t>
      </w:r>
      <w:r w:rsidRPr="00F27A4D">
        <w:rPr>
          <w:rFonts w:eastAsia="Calibri"/>
          <w:b/>
          <w:iCs/>
          <w:sz w:val="28"/>
          <w:szCs w:val="28"/>
          <w:lang w:eastAsia="en-US"/>
        </w:rPr>
        <w:br/>
        <w:t>безопасностью лекарственного средства</w:t>
      </w:r>
    </w:p>
    <w:p w14:paraId="0A17EDFE" w14:textId="77777777" w:rsidR="00867930" w:rsidRDefault="0067548B" w:rsidP="00F27A4D">
      <w:pPr>
        <w:pStyle w:val="ConsPlusNormal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ИП </w:t>
      </w:r>
      <w:proofErr w:type="spellStart"/>
      <w:r w:rsidR="00F27A4D" w:rsidRPr="00F27A4D">
        <w:rPr>
          <w:rFonts w:eastAsia="Calibri"/>
          <w:bCs/>
          <w:iCs/>
          <w:sz w:val="28"/>
          <w:szCs w:val="28"/>
          <w:lang w:eastAsia="en-US"/>
        </w:rPr>
        <w:t>Канумуру</w:t>
      </w:r>
      <w:proofErr w:type="spellEnd"/>
      <w:r w:rsidR="00F27A4D" w:rsidRPr="00F27A4D">
        <w:rPr>
          <w:rFonts w:eastAsia="Calibri"/>
          <w:bCs/>
          <w:iCs/>
          <w:sz w:val="28"/>
          <w:szCs w:val="28"/>
          <w:lang w:eastAsia="en-US"/>
        </w:rPr>
        <w:t xml:space="preserve"> И.Г., Казахстан, 050043, г. Алматы, мкн. </w:t>
      </w:r>
      <w:proofErr w:type="spellStart"/>
      <w:r w:rsidR="00F27A4D" w:rsidRPr="00F27A4D">
        <w:rPr>
          <w:rFonts w:eastAsia="Calibri"/>
          <w:bCs/>
          <w:iCs/>
          <w:sz w:val="28"/>
          <w:szCs w:val="28"/>
          <w:lang w:eastAsia="en-US"/>
        </w:rPr>
        <w:t>Мирас</w:t>
      </w:r>
      <w:proofErr w:type="spellEnd"/>
      <w:r w:rsidR="00F27A4D" w:rsidRPr="00F27A4D">
        <w:rPr>
          <w:rFonts w:eastAsia="Calibri"/>
          <w:bCs/>
          <w:iCs/>
          <w:sz w:val="28"/>
          <w:szCs w:val="28"/>
          <w:lang w:eastAsia="en-US"/>
        </w:rPr>
        <w:t xml:space="preserve">, д. 157, </w:t>
      </w:r>
      <w:proofErr w:type="spellStart"/>
      <w:r w:rsidR="00F27A4D" w:rsidRPr="00F27A4D">
        <w:rPr>
          <w:rFonts w:eastAsia="Calibri"/>
          <w:bCs/>
          <w:iCs/>
          <w:sz w:val="28"/>
          <w:szCs w:val="28"/>
          <w:lang w:eastAsia="en-US"/>
        </w:rPr>
        <w:t>н.п</w:t>
      </w:r>
      <w:proofErr w:type="spellEnd"/>
      <w:r w:rsidR="00F27A4D" w:rsidRPr="00F27A4D">
        <w:rPr>
          <w:rFonts w:eastAsia="Calibri"/>
          <w:bCs/>
          <w:iCs/>
          <w:sz w:val="28"/>
          <w:szCs w:val="28"/>
          <w:lang w:eastAsia="en-US"/>
        </w:rPr>
        <w:t>. 819.</w:t>
      </w:r>
      <w:r w:rsidR="00F27A4D" w:rsidRPr="00F27A4D">
        <w:rPr>
          <w:rFonts w:eastAsia="Calibri"/>
          <w:bCs/>
          <w:iCs/>
          <w:sz w:val="28"/>
          <w:szCs w:val="28"/>
          <w:lang w:eastAsia="en-US"/>
        </w:rPr>
        <w:br/>
        <w:t xml:space="preserve">Тел. +7 (727) 311-81-96/97, </w:t>
      </w:r>
    </w:p>
    <w:p w14:paraId="5311EC8F" w14:textId="77777777" w:rsidR="00844CE8" w:rsidRPr="00FA319F" w:rsidRDefault="00867930" w:rsidP="00F27A4D">
      <w:pPr>
        <w:pStyle w:val="ConsPlusNormal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Телефон с 24-х часовым доступом: </w:t>
      </w:r>
      <w:r w:rsidR="00F27A4D" w:rsidRPr="00867930">
        <w:rPr>
          <w:rFonts w:eastAsia="Calibri"/>
          <w:bCs/>
          <w:iCs/>
          <w:sz w:val="28"/>
          <w:szCs w:val="28"/>
          <w:lang w:eastAsia="en-US"/>
        </w:rPr>
        <w:t>+7 747 991-19-04,</w:t>
      </w:r>
      <w:r w:rsidR="00F27A4D" w:rsidRPr="00867930">
        <w:rPr>
          <w:rFonts w:eastAsia="Calibri"/>
          <w:bCs/>
          <w:iCs/>
          <w:sz w:val="28"/>
          <w:szCs w:val="28"/>
          <w:lang w:eastAsia="en-US"/>
        </w:rPr>
        <w:br/>
      </w:r>
      <w:r w:rsidR="00F27A4D" w:rsidRPr="00867930">
        <w:rPr>
          <w:rFonts w:eastAsia="Calibri"/>
          <w:bCs/>
          <w:iCs/>
          <w:sz w:val="28"/>
          <w:szCs w:val="28"/>
          <w:lang w:val="en-US" w:eastAsia="en-US"/>
        </w:rPr>
        <w:t>e</w:t>
      </w:r>
      <w:r w:rsidR="00F27A4D" w:rsidRPr="00867930">
        <w:rPr>
          <w:rFonts w:eastAsia="Calibri"/>
          <w:bCs/>
          <w:iCs/>
          <w:sz w:val="28"/>
          <w:szCs w:val="28"/>
          <w:lang w:eastAsia="en-US"/>
        </w:rPr>
        <w:t>-</w:t>
      </w:r>
      <w:r w:rsidR="00F27A4D" w:rsidRPr="00867930">
        <w:rPr>
          <w:rFonts w:eastAsia="Calibri"/>
          <w:bCs/>
          <w:iCs/>
          <w:sz w:val="28"/>
          <w:szCs w:val="28"/>
          <w:lang w:val="en-US" w:eastAsia="en-US"/>
        </w:rPr>
        <w:t>mail</w:t>
      </w:r>
      <w:r w:rsidR="00F27A4D" w:rsidRPr="00867930">
        <w:rPr>
          <w:rFonts w:eastAsia="Calibri"/>
          <w:bCs/>
          <w:iCs/>
          <w:sz w:val="28"/>
          <w:szCs w:val="28"/>
          <w:lang w:eastAsia="en-US"/>
        </w:rPr>
        <w:t xml:space="preserve">: </w:t>
      </w:r>
      <w:hyperlink r:id="rId11" w:history="1"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irina</w:t>
        </w:r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eastAsia="en-US"/>
          </w:rPr>
          <w:t>.</w:t>
        </w:r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volovnikova</w:t>
        </w:r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eastAsia="en-US"/>
          </w:rPr>
          <w:t>@</w:t>
        </w:r>
        <w:proofErr w:type="spellStart"/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gmail</w:t>
        </w:r>
        <w:proofErr w:type="spellEnd"/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eastAsia="en-US"/>
          </w:rPr>
          <w:t>.</w:t>
        </w:r>
        <w:r w:rsidR="00FA319F" w:rsidRPr="009C529D">
          <w:rPr>
            <w:rStyle w:val="af"/>
            <w:rFonts w:eastAsia="Calibri"/>
            <w:bCs/>
            <w:iCs/>
            <w:sz w:val="28"/>
            <w:szCs w:val="28"/>
            <w:lang w:val="en-US" w:eastAsia="en-US"/>
          </w:rPr>
          <w:t>com</w:t>
        </w:r>
      </w:hyperlink>
    </w:p>
    <w:p w14:paraId="71AD0822" w14:textId="77777777" w:rsidR="00FA319F" w:rsidRPr="00FA319F" w:rsidRDefault="00FA319F" w:rsidP="00F27A4D">
      <w:pPr>
        <w:pStyle w:val="ConsPlusNormal"/>
        <w:rPr>
          <w:bCs/>
          <w:sz w:val="24"/>
          <w:szCs w:val="24"/>
        </w:rPr>
      </w:pPr>
    </w:p>
    <w:p w14:paraId="161DE68E" w14:textId="77777777" w:rsidR="002C76D7" w:rsidRPr="00867930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22A623" w14:textId="733A2020" w:rsidR="006255B2" w:rsidRDefault="006255B2"/>
    <w:sectPr w:rsidR="006255B2" w:rsidSect="00F97B5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8201" w14:textId="77777777" w:rsidR="00DD597E" w:rsidRDefault="00DD597E" w:rsidP="00D275FC">
      <w:pPr>
        <w:spacing w:after="0" w:line="240" w:lineRule="auto"/>
      </w:pPr>
      <w:r>
        <w:separator/>
      </w:r>
    </w:p>
  </w:endnote>
  <w:endnote w:type="continuationSeparator" w:id="0">
    <w:p w14:paraId="3E54DB1C" w14:textId="77777777" w:rsidR="00DD597E" w:rsidRDefault="00DD597E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D1EB" w14:textId="77777777" w:rsidR="009D472B" w:rsidRDefault="00DD597E"/>
  <w:p w14:paraId="2B39FC30" w14:textId="77777777" w:rsidR="006255B2" w:rsidRDefault="00E43DC9">
    <w:r>
      <w:rPr>
        <w:rFonts w:ascii="Times New Roman" w:eastAsia="Times New Roman" w:hAnsi="Times New Roman"/>
      </w:rPr>
      <w:t>Решение: N086509</w:t>
    </w:r>
    <w:r>
      <w:rPr>
        <w:rFonts w:ascii="Times New Roman" w:eastAsia="Times New Roman" w:hAnsi="Times New Roman"/>
      </w:rPr>
      <w:br/>
      <w:t>Дата решения: 05.06.2025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D83A" w14:textId="77777777" w:rsidR="009D472B" w:rsidRDefault="00DD597E"/>
  <w:p w14:paraId="325EED2E" w14:textId="5A7FC875" w:rsidR="006255B2" w:rsidRDefault="006255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E686" w14:textId="77777777" w:rsidR="009D472B" w:rsidRDefault="00DD597E"/>
  <w:p w14:paraId="21E6776D" w14:textId="77777777" w:rsidR="006255B2" w:rsidRDefault="00E43DC9">
    <w:r>
      <w:rPr>
        <w:rFonts w:ascii="Times New Roman" w:eastAsia="Times New Roman" w:hAnsi="Times New Roman"/>
      </w:rPr>
      <w:t>Решение: N086509</w:t>
    </w:r>
    <w:r>
      <w:rPr>
        <w:rFonts w:ascii="Times New Roman" w:eastAsia="Times New Roman" w:hAnsi="Times New Roman"/>
      </w:rPr>
      <w:br/>
      <w:t>Дата решения: 05.06.2025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20F3" w14:textId="77777777" w:rsidR="00DD597E" w:rsidRDefault="00DD597E" w:rsidP="00D275FC">
      <w:pPr>
        <w:spacing w:after="0" w:line="240" w:lineRule="auto"/>
      </w:pPr>
      <w:r>
        <w:separator/>
      </w:r>
    </w:p>
  </w:footnote>
  <w:footnote w:type="continuationSeparator" w:id="0">
    <w:p w14:paraId="75875562" w14:textId="77777777" w:rsidR="00DD597E" w:rsidRDefault="00DD597E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8152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4F446A" wp14:editId="1200453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6B227F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F446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2F6B227F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72615"/>
    <w:multiLevelType w:val="hybridMultilevel"/>
    <w:tmpl w:val="5A3C34C8"/>
    <w:lvl w:ilvl="0" w:tplc="6CC4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20"/>
  </w:num>
  <w:num w:numId="5">
    <w:abstractNumId w:val="25"/>
  </w:num>
  <w:num w:numId="6">
    <w:abstractNumId w:val="5"/>
  </w:num>
  <w:num w:numId="7">
    <w:abstractNumId w:val="23"/>
  </w:num>
  <w:num w:numId="8">
    <w:abstractNumId w:val="7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0"/>
  </w:num>
  <w:num w:numId="16">
    <w:abstractNumId w:val="24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346AB"/>
    <w:rsid w:val="00040B73"/>
    <w:rsid w:val="00042999"/>
    <w:rsid w:val="00066CB9"/>
    <w:rsid w:val="00084813"/>
    <w:rsid w:val="000852A1"/>
    <w:rsid w:val="000972E6"/>
    <w:rsid w:val="000A0D71"/>
    <w:rsid w:val="000A2141"/>
    <w:rsid w:val="000C2C4B"/>
    <w:rsid w:val="000C4C48"/>
    <w:rsid w:val="000C5300"/>
    <w:rsid w:val="000D2603"/>
    <w:rsid w:val="000E01AB"/>
    <w:rsid w:val="000E2683"/>
    <w:rsid w:val="000E3FEE"/>
    <w:rsid w:val="000E49F0"/>
    <w:rsid w:val="000E6126"/>
    <w:rsid w:val="000F2810"/>
    <w:rsid w:val="00100406"/>
    <w:rsid w:val="00107A8A"/>
    <w:rsid w:val="00111788"/>
    <w:rsid w:val="001305B8"/>
    <w:rsid w:val="00132B9A"/>
    <w:rsid w:val="001368AE"/>
    <w:rsid w:val="00144CCD"/>
    <w:rsid w:val="00145C92"/>
    <w:rsid w:val="0014739A"/>
    <w:rsid w:val="0015490C"/>
    <w:rsid w:val="001573E2"/>
    <w:rsid w:val="0016278D"/>
    <w:rsid w:val="001937AD"/>
    <w:rsid w:val="001A2CB2"/>
    <w:rsid w:val="001A5CCF"/>
    <w:rsid w:val="001B6AEC"/>
    <w:rsid w:val="001E19C5"/>
    <w:rsid w:val="001E6F4C"/>
    <w:rsid w:val="001F16AA"/>
    <w:rsid w:val="00203355"/>
    <w:rsid w:val="00211005"/>
    <w:rsid w:val="00214FC9"/>
    <w:rsid w:val="00217D41"/>
    <w:rsid w:val="00222CA6"/>
    <w:rsid w:val="00232642"/>
    <w:rsid w:val="00236AAE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62DF"/>
    <w:rsid w:val="00330AB3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A5E81"/>
    <w:rsid w:val="003B0285"/>
    <w:rsid w:val="003C3434"/>
    <w:rsid w:val="003E13CF"/>
    <w:rsid w:val="003E7212"/>
    <w:rsid w:val="003F5344"/>
    <w:rsid w:val="003F7EDC"/>
    <w:rsid w:val="00404548"/>
    <w:rsid w:val="0041162E"/>
    <w:rsid w:val="0042786D"/>
    <w:rsid w:val="00433C62"/>
    <w:rsid w:val="00434D01"/>
    <w:rsid w:val="0045787D"/>
    <w:rsid w:val="00472EF5"/>
    <w:rsid w:val="0048687C"/>
    <w:rsid w:val="004A31B4"/>
    <w:rsid w:val="004A5701"/>
    <w:rsid w:val="004C1922"/>
    <w:rsid w:val="004C462F"/>
    <w:rsid w:val="004D49E9"/>
    <w:rsid w:val="004F692A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A94"/>
    <w:rsid w:val="005D7EE3"/>
    <w:rsid w:val="005E50DE"/>
    <w:rsid w:val="005F7097"/>
    <w:rsid w:val="0060364A"/>
    <w:rsid w:val="00610808"/>
    <w:rsid w:val="0061650D"/>
    <w:rsid w:val="00617843"/>
    <w:rsid w:val="00617D52"/>
    <w:rsid w:val="00617D9F"/>
    <w:rsid w:val="00620F34"/>
    <w:rsid w:val="00624C1B"/>
    <w:rsid w:val="00625471"/>
    <w:rsid w:val="006255B2"/>
    <w:rsid w:val="00627853"/>
    <w:rsid w:val="00634D0C"/>
    <w:rsid w:val="00652BCE"/>
    <w:rsid w:val="00652E29"/>
    <w:rsid w:val="00653617"/>
    <w:rsid w:val="006703A5"/>
    <w:rsid w:val="0067136B"/>
    <w:rsid w:val="0067548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5150"/>
    <w:rsid w:val="00736B6C"/>
    <w:rsid w:val="00742579"/>
    <w:rsid w:val="00745CFF"/>
    <w:rsid w:val="00746FF2"/>
    <w:rsid w:val="00761133"/>
    <w:rsid w:val="00764E84"/>
    <w:rsid w:val="007656FF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657B"/>
    <w:rsid w:val="00867930"/>
    <w:rsid w:val="00872B65"/>
    <w:rsid w:val="008832E5"/>
    <w:rsid w:val="00891711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90B7A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28A6"/>
    <w:rsid w:val="00A26E70"/>
    <w:rsid w:val="00A57C0D"/>
    <w:rsid w:val="00A8185B"/>
    <w:rsid w:val="00AA28E0"/>
    <w:rsid w:val="00AA5E2F"/>
    <w:rsid w:val="00AA7317"/>
    <w:rsid w:val="00AB5094"/>
    <w:rsid w:val="00AC2C0B"/>
    <w:rsid w:val="00AC4905"/>
    <w:rsid w:val="00AE7922"/>
    <w:rsid w:val="00B01011"/>
    <w:rsid w:val="00B11878"/>
    <w:rsid w:val="00B46F30"/>
    <w:rsid w:val="00B608C1"/>
    <w:rsid w:val="00B60D3D"/>
    <w:rsid w:val="00B61D95"/>
    <w:rsid w:val="00B809B6"/>
    <w:rsid w:val="00B878A0"/>
    <w:rsid w:val="00B9187F"/>
    <w:rsid w:val="00BB3050"/>
    <w:rsid w:val="00BB7831"/>
    <w:rsid w:val="00BC31BC"/>
    <w:rsid w:val="00BC6167"/>
    <w:rsid w:val="00BE24BE"/>
    <w:rsid w:val="00BE4435"/>
    <w:rsid w:val="00BE6B71"/>
    <w:rsid w:val="00C07BB3"/>
    <w:rsid w:val="00C2000E"/>
    <w:rsid w:val="00C212CA"/>
    <w:rsid w:val="00C379C9"/>
    <w:rsid w:val="00C40708"/>
    <w:rsid w:val="00C422B8"/>
    <w:rsid w:val="00C47A40"/>
    <w:rsid w:val="00C566D6"/>
    <w:rsid w:val="00C839ED"/>
    <w:rsid w:val="00C84299"/>
    <w:rsid w:val="00C91310"/>
    <w:rsid w:val="00C92F14"/>
    <w:rsid w:val="00C9308C"/>
    <w:rsid w:val="00C97365"/>
    <w:rsid w:val="00CC08BA"/>
    <w:rsid w:val="00CC330A"/>
    <w:rsid w:val="00CC5727"/>
    <w:rsid w:val="00CC7DBD"/>
    <w:rsid w:val="00CE3384"/>
    <w:rsid w:val="00CE38C0"/>
    <w:rsid w:val="00CF3849"/>
    <w:rsid w:val="00D0233C"/>
    <w:rsid w:val="00D066FC"/>
    <w:rsid w:val="00D11462"/>
    <w:rsid w:val="00D14D61"/>
    <w:rsid w:val="00D22A47"/>
    <w:rsid w:val="00D23079"/>
    <w:rsid w:val="00D275FC"/>
    <w:rsid w:val="00D3576E"/>
    <w:rsid w:val="00D43297"/>
    <w:rsid w:val="00D46B0B"/>
    <w:rsid w:val="00D55ED8"/>
    <w:rsid w:val="00D57D5F"/>
    <w:rsid w:val="00D70DB6"/>
    <w:rsid w:val="00D76048"/>
    <w:rsid w:val="00D833F1"/>
    <w:rsid w:val="00D83747"/>
    <w:rsid w:val="00D93C80"/>
    <w:rsid w:val="00D96A8F"/>
    <w:rsid w:val="00DB406A"/>
    <w:rsid w:val="00DC33F0"/>
    <w:rsid w:val="00DD597E"/>
    <w:rsid w:val="00DF11A7"/>
    <w:rsid w:val="00E03E8D"/>
    <w:rsid w:val="00E271CB"/>
    <w:rsid w:val="00E34FE3"/>
    <w:rsid w:val="00E43DC9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F4C53"/>
    <w:rsid w:val="00EF5698"/>
    <w:rsid w:val="00EF6CC3"/>
    <w:rsid w:val="00EF7AB6"/>
    <w:rsid w:val="00F006F1"/>
    <w:rsid w:val="00F07B7B"/>
    <w:rsid w:val="00F23B95"/>
    <w:rsid w:val="00F27A4D"/>
    <w:rsid w:val="00F3708F"/>
    <w:rsid w:val="00F40388"/>
    <w:rsid w:val="00F545E0"/>
    <w:rsid w:val="00F63389"/>
    <w:rsid w:val="00F72BAA"/>
    <w:rsid w:val="00F8747E"/>
    <w:rsid w:val="00F91977"/>
    <w:rsid w:val="00F92ACD"/>
    <w:rsid w:val="00F97B57"/>
    <w:rsid w:val="00FA319F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CC949"/>
  <w15:docId w15:val="{93BD44BA-04A2-4832-B84B-89A25935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uiPriority w:val="99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Text">
    <w:name w:val="Text"/>
    <w:aliases w:val="Graphic"/>
    <w:basedOn w:val="a"/>
    <w:link w:val="TextChar"/>
    <w:rsid w:val="00D833F1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TextChar">
    <w:name w:val="Text Char"/>
    <w:link w:val="Text"/>
    <w:rsid w:val="00D833F1"/>
    <w:rPr>
      <w:rFonts w:ascii="Times New Roman" w:eastAsia="MS Mincho" w:hAnsi="Times New Roman"/>
      <w:sz w:val="24"/>
      <w:lang w:val="en-US" w:eastAsia="en-US"/>
    </w:rPr>
  </w:style>
  <w:style w:type="paragraph" w:customStyle="1" w:styleId="Listlevel1">
    <w:name w:val="List level 1"/>
    <w:basedOn w:val="a"/>
    <w:rsid w:val="00A26E70"/>
    <w:pPr>
      <w:spacing w:before="40" w:after="20" w:line="240" w:lineRule="auto"/>
      <w:ind w:left="425" w:hanging="425"/>
    </w:pPr>
    <w:rPr>
      <w:rFonts w:ascii="Times New Roman" w:eastAsia="MS Mincho" w:hAnsi="Times New Roman"/>
      <w:sz w:val="24"/>
      <w:szCs w:val="20"/>
      <w:lang w:val="en-US" w:eastAsia="ja-JP"/>
    </w:rPr>
  </w:style>
  <w:style w:type="character" w:styleId="afa">
    <w:name w:val="Unresolved Mention"/>
    <w:basedOn w:val="a0"/>
    <w:uiPriority w:val="99"/>
    <w:semiHidden/>
    <w:unhideWhenUsed/>
    <w:rsid w:val="00F2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.volovnikova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a@panaceabiote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E7C9-02F7-46D5-A3B3-B13AB299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25</Pages>
  <Words>8214</Words>
  <Characters>46823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54928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51</cp:revision>
  <cp:lastPrinted>2018-03-22T06:08:00Z</cp:lastPrinted>
  <dcterms:created xsi:type="dcterms:W3CDTF">2020-01-20T04:40:00Z</dcterms:created>
  <dcterms:modified xsi:type="dcterms:W3CDTF">2025-06-05T12:40:00Z</dcterms:modified>
</cp:coreProperties>
</file>